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4" w:lineRule="exact"/>
        <w:rPr>
          <w:rFonts w:hint="eastAsia" w:ascii="inherit" w:hAnsi="inherit" w:cs="宋体"/>
          <w:kern w:val="0"/>
          <w:sz w:val="24"/>
        </w:rPr>
      </w:pPr>
      <w:r>
        <w:rPr>
          <w:rFonts w:hint="eastAsia" w:ascii="方正黑体简体" w:hAnsi="inherit" w:eastAsia="方正黑体简体" w:cs="宋体"/>
          <w:kern w:val="0"/>
          <w:sz w:val="32"/>
          <w:szCs w:val="32"/>
        </w:rPr>
        <w:t>附件1</w:t>
      </w:r>
    </w:p>
    <w:p>
      <w:pPr>
        <w:widowControl/>
        <w:spacing w:line="594" w:lineRule="exact"/>
        <w:jc w:val="center"/>
        <w:rPr>
          <w:rFonts w:hint="eastAsia" w:ascii="inherit" w:hAnsi="inherit" w:cs="宋体"/>
          <w:kern w:val="0"/>
          <w:sz w:val="24"/>
        </w:rPr>
      </w:pPr>
    </w:p>
    <w:p>
      <w:pPr>
        <w:widowControl/>
        <w:spacing w:line="594" w:lineRule="exact"/>
        <w:jc w:val="center"/>
        <w:rPr>
          <w:rFonts w:hint="eastAsia" w:ascii="inherit" w:hAnsi="inherit" w:cs="宋体"/>
          <w:kern w:val="0"/>
          <w:sz w:val="24"/>
        </w:rPr>
      </w:pPr>
      <w:r>
        <w:rPr>
          <w:rFonts w:hint="eastAsia" w:ascii="方正小标宋简体" w:hAnsi="仿宋" w:eastAsia="方正小标宋简体" w:cs="宋体"/>
          <w:kern w:val="0"/>
          <w:sz w:val="44"/>
          <w:szCs w:val="44"/>
        </w:rPr>
        <w:t>进口乌克兰甜菜粕检验检疫要求</w:t>
      </w:r>
    </w:p>
    <w:p>
      <w:pPr>
        <w:widowControl/>
        <w:spacing w:line="594" w:lineRule="exact"/>
        <w:ind w:firstLine="640" w:firstLineChars="200"/>
        <w:rPr>
          <w:rFonts w:hint="eastAsia" w:ascii="宋体" w:hAnsi="宋体" w:cs="宋体"/>
          <w:kern w:val="0"/>
          <w:sz w:val="32"/>
          <w:szCs w:val="32"/>
        </w:rPr>
      </w:pPr>
    </w:p>
    <w:p>
      <w:pPr>
        <w:widowControl/>
        <w:spacing w:line="594" w:lineRule="exact"/>
        <w:ind w:firstLine="640" w:firstLineChars="200"/>
        <w:rPr>
          <w:rFonts w:hint="eastAsia" w:ascii="inherit" w:hAnsi="inherit" w:cs="宋体"/>
          <w:kern w:val="0"/>
          <w:sz w:val="24"/>
        </w:rPr>
      </w:pPr>
      <w:r>
        <w:rPr>
          <w:rFonts w:hint="eastAsia" w:ascii="方正黑体简体" w:hAnsi="inherit" w:eastAsia="方正黑体简体" w:cs="宋体"/>
          <w:kern w:val="0"/>
          <w:sz w:val="32"/>
          <w:szCs w:val="32"/>
        </w:rPr>
        <w:t>一、法律法规依据</w:t>
      </w:r>
    </w:p>
    <w:p>
      <w:pPr>
        <w:widowControl/>
        <w:spacing w:line="594" w:lineRule="exact"/>
        <w:ind w:firstLine="640" w:firstLineChars="200"/>
        <w:rPr>
          <w:rFonts w:hint="eastAsia" w:ascii="inherit" w:hAnsi="inherit" w:cs="宋体"/>
          <w:kern w:val="0"/>
          <w:sz w:val="24"/>
        </w:rPr>
      </w:pPr>
      <w:r>
        <w:rPr>
          <w:rFonts w:hint="eastAsia" w:ascii="方正仿宋简体" w:hAnsi="宋体" w:eastAsia="方正仿宋简体" w:cs="宋体"/>
          <w:color w:val="292929"/>
          <w:kern w:val="0"/>
          <w:sz w:val="32"/>
          <w:szCs w:val="32"/>
        </w:rPr>
        <w:t>《中华人民共和国进出境动植物检疫法》及其实施条例、《进出口饲料和饲料添加剂检验检疫监督管理办法》。</w:t>
      </w:r>
    </w:p>
    <w:p>
      <w:pPr>
        <w:widowControl/>
        <w:spacing w:line="594" w:lineRule="exact"/>
        <w:ind w:firstLine="640" w:firstLineChars="200"/>
        <w:rPr>
          <w:rFonts w:hint="eastAsia" w:ascii="inherit" w:hAnsi="inherit" w:cs="宋体"/>
          <w:kern w:val="0"/>
          <w:sz w:val="24"/>
        </w:rPr>
      </w:pPr>
      <w:r>
        <w:rPr>
          <w:rFonts w:hint="eastAsia" w:ascii="方正黑体简体" w:hAnsi="inherit" w:eastAsia="方正黑体简体" w:cs="宋体"/>
          <w:kern w:val="0"/>
          <w:sz w:val="32"/>
          <w:szCs w:val="32"/>
        </w:rPr>
        <w:t>二、允许进境商品名称</w:t>
      </w:r>
    </w:p>
    <w:p>
      <w:pPr>
        <w:widowControl/>
        <w:spacing w:line="594" w:lineRule="exact"/>
        <w:ind w:firstLine="640"/>
        <w:rPr>
          <w:rFonts w:hint="eastAsia" w:ascii="inherit" w:hAnsi="inherit" w:cs="宋体"/>
          <w:kern w:val="0"/>
          <w:sz w:val="18"/>
          <w:szCs w:val="18"/>
        </w:rPr>
      </w:pPr>
      <w:r>
        <w:rPr>
          <w:rFonts w:hint="eastAsia" w:ascii="方正仿宋简体" w:hAnsi="Arial" w:eastAsia="方正仿宋简体" w:cs="Arial"/>
          <w:kern w:val="0"/>
          <w:sz w:val="32"/>
          <w:szCs w:val="32"/>
        </w:rPr>
        <w:t>甜菜粕（</w:t>
      </w:r>
      <w:r>
        <w:rPr>
          <w:rFonts w:ascii="inherit" w:hAnsi="inherit" w:eastAsia="方正仿宋简体" w:cs="Arial"/>
          <w:kern w:val="0"/>
          <w:sz w:val="32"/>
          <w:szCs w:val="32"/>
        </w:rPr>
        <w:t>Sugar beet pulp</w:t>
      </w:r>
      <w:r>
        <w:rPr>
          <w:rFonts w:hint="eastAsia" w:ascii="方正仿宋简体" w:hAnsi="Arial" w:eastAsia="方正仿宋简体" w:cs="Arial"/>
          <w:kern w:val="0"/>
          <w:sz w:val="32"/>
          <w:szCs w:val="32"/>
        </w:rPr>
        <w:t>）是指在乌克兰生产的甜菜经清洗、扩散、挤压、干燥和制粒等工艺制取分离蔗糖后的残余物。</w:t>
      </w:r>
    </w:p>
    <w:p>
      <w:pPr>
        <w:widowControl/>
        <w:spacing w:line="594" w:lineRule="exact"/>
        <w:ind w:firstLine="640" w:firstLineChars="200"/>
        <w:rPr>
          <w:rFonts w:hint="eastAsia" w:ascii="inherit" w:hAnsi="inherit" w:cs="宋体"/>
          <w:kern w:val="0"/>
          <w:sz w:val="24"/>
        </w:rPr>
      </w:pPr>
      <w:r>
        <w:rPr>
          <w:rFonts w:hint="eastAsia" w:ascii="方正黑体简体" w:hAnsi="inherit" w:eastAsia="方正黑体简体" w:cs="宋体"/>
          <w:kern w:val="0"/>
          <w:sz w:val="32"/>
          <w:szCs w:val="32"/>
        </w:rPr>
        <w:t>三、注册登记要求</w:t>
      </w:r>
    </w:p>
    <w:p>
      <w:pPr>
        <w:widowControl/>
        <w:spacing w:line="594" w:lineRule="exact"/>
        <w:ind w:firstLine="566" w:firstLineChars="177"/>
        <w:rPr>
          <w:rFonts w:hint="eastAsia" w:ascii="inherit" w:hAnsi="inherit" w:cs="宋体"/>
          <w:kern w:val="0"/>
          <w:sz w:val="24"/>
        </w:rPr>
      </w:pPr>
      <w:r>
        <w:rPr>
          <w:rFonts w:hint="eastAsia" w:ascii="方正仿宋简体" w:hAnsi="Arial" w:eastAsia="方正仿宋简体" w:cs="Arial"/>
          <w:kern w:val="0"/>
          <w:sz w:val="32"/>
          <w:szCs w:val="32"/>
        </w:rPr>
        <w:t>输华甜菜粕必须来自</w:t>
      </w:r>
      <w:r>
        <w:rPr>
          <w:rFonts w:hint="eastAsia" w:ascii="方正仿宋简体" w:hAnsi="宋体" w:eastAsia="方正仿宋简体" w:cs="宋体"/>
          <w:color w:val="292929"/>
          <w:kern w:val="0"/>
          <w:sz w:val="32"/>
          <w:szCs w:val="32"/>
        </w:rPr>
        <w:t>乌克兰农业政策和食品部</w:t>
      </w:r>
      <w:r>
        <w:rPr>
          <w:rFonts w:hint="eastAsia" w:ascii="方正仿宋简体" w:hAnsi="Arial" w:eastAsia="方正仿宋简体" w:cs="Arial"/>
          <w:kern w:val="0"/>
          <w:sz w:val="32"/>
          <w:szCs w:val="32"/>
        </w:rPr>
        <w:t>（以下简称</w:t>
      </w:r>
      <w:r>
        <w:rPr>
          <w:rFonts w:ascii="inherit" w:hAnsi="inherit" w:eastAsia="方正仿宋简体" w:cs="Arial"/>
          <w:kern w:val="0"/>
          <w:sz w:val="32"/>
          <w:szCs w:val="32"/>
        </w:rPr>
        <w:t>MAPFU</w:t>
      </w:r>
      <w:r>
        <w:rPr>
          <w:rFonts w:hint="eastAsia" w:ascii="方正仿宋简体" w:hAnsi="Arial" w:eastAsia="方正仿宋简体" w:cs="Arial"/>
          <w:kern w:val="0"/>
          <w:sz w:val="32"/>
          <w:szCs w:val="32"/>
        </w:rPr>
        <w:t>）考核批准的加工厂。加工厂由MAPFU向</w:t>
      </w:r>
      <w:r>
        <w:rPr>
          <w:rFonts w:hint="eastAsia" w:ascii="方正仿宋简体" w:hAnsi="宋体" w:eastAsia="方正仿宋简体" w:cs="宋体"/>
          <w:color w:val="292929"/>
          <w:kern w:val="0"/>
          <w:sz w:val="32"/>
          <w:szCs w:val="32"/>
        </w:rPr>
        <w:t>中华人民共和国国家质量监督检验检疫总局</w:t>
      </w:r>
      <w:r>
        <w:rPr>
          <w:rFonts w:hint="eastAsia" w:ascii="方正仿宋简体" w:hAnsi="Arial" w:eastAsia="方正仿宋简体" w:cs="Arial"/>
          <w:kern w:val="0"/>
          <w:sz w:val="32"/>
          <w:szCs w:val="32"/>
        </w:rPr>
        <w:t>（以下简称</w:t>
      </w:r>
      <w:r>
        <w:rPr>
          <w:rFonts w:ascii="inherit" w:hAnsi="inherit" w:eastAsia="方正仿宋简体" w:cs="Arial"/>
          <w:kern w:val="0"/>
          <w:sz w:val="32"/>
          <w:szCs w:val="32"/>
        </w:rPr>
        <w:t>AQSIQ</w:t>
      </w:r>
      <w:r>
        <w:rPr>
          <w:rFonts w:hint="eastAsia" w:ascii="方正仿宋简体" w:hAnsi="Arial" w:eastAsia="方正仿宋简体" w:cs="Arial"/>
          <w:kern w:val="0"/>
          <w:sz w:val="32"/>
          <w:szCs w:val="32"/>
        </w:rPr>
        <w:t>）推荐，由</w:t>
      </w:r>
      <w:r>
        <w:rPr>
          <w:rFonts w:ascii="inherit" w:hAnsi="inherit" w:eastAsia="方正仿宋简体" w:cs="Arial"/>
          <w:kern w:val="0"/>
          <w:sz w:val="32"/>
          <w:szCs w:val="32"/>
        </w:rPr>
        <w:t>AQSIQ</w:t>
      </w:r>
      <w:r>
        <w:rPr>
          <w:rFonts w:hint="eastAsia" w:ascii="方正仿宋简体" w:hAnsi="Arial" w:eastAsia="方正仿宋简体" w:cs="Arial"/>
          <w:kern w:val="0"/>
          <w:sz w:val="32"/>
          <w:szCs w:val="32"/>
        </w:rPr>
        <w:t>检查或审查后予以注册登记。获准注册登记的加工厂名单可在</w:t>
      </w:r>
      <w:r>
        <w:rPr>
          <w:rFonts w:ascii="inherit" w:hAnsi="inherit" w:eastAsia="方正仿宋简体" w:cs="Arial"/>
          <w:kern w:val="0"/>
          <w:sz w:val="32"/>
          <w:szCs w:val="32"/>
        </w:rPr>
        <w:t>AQSIQ</w:t>
      </w:r>
      <w:r>
        <w:rPr>
          <w:rFonts w:hint="eastAsia" w:ascii="方正仿宋简体" w:hAnsi="Arial" w:eastAsia="方正仿宋简体" w:cs="Arial"/>
          <w:kern w:val="0"/>
          <w:sz w:val="32"/>
          <w:szCs w:val="32"/>
        </w:rPr>
        <w:t>网站查询</w:t>
      </w:r>
      <w:r>
        <w:rPr>
          <w:rFonts w:hint="eastAsia" w:ascii="方正仿宋简体" w:hAnsi="Arial" w:eastAsia="方正仿宋简体" w:cs="方正仿宋简体"/>
          <w:kern w:val="0"/>
          <w:sz w:val="32"/>
          <w:szCs w:val="32"/>
        </w:rPr>
        <w:t>。</w:t>
      </w:r>
    </w:p>
    <w:p>
      <w:pPr>
        <w:widowControl/>
        <w:spacing w:line="594" w:lineRule="exact"/>
        <w:ind w:firstLine="640" w:firstLineChars="200"/>
        <w:rPr>
          <w:rFonts w:hint="eastAsia" w:ascii="方正黑体简体" w:hAnsi="inherit" w:eastAsia="方正黑体简体" w:cs="宋体"/>
          <w:kern w:val="0"/>
          <w:sz w:val="32"/>
          <w:szCs w:val="32"/>
        </w:rPr>
      </w:pPr>
      <w:r>
        <w:rPr>
          <w:rFonts w:hint="eastAsia" w:ascii="方正黑体简体" w:hAnsi="inherit" w:eastAsia="方正黑体简体" w:cs="宋体"/>
          <w:kern w:val="0"/>
          <w:sz w:val="32"/>
          <w:szCs w:val="32"/>
        </w:rPr>
        <w:t>四、装运前要求</w:t>
      </w:r>
    </w:p>
    <w:p>
      <w:pPr>
        <w:spacing w:line="594" w:lineRule="exact"/>
        <w:ind w:firstLine="643" w:firstLineChars="200"/>
        <w:rPr>
          <w:rFonts w:hint="eastAsia" w:eastAsia="方正楷体简体"/>
          <w:b/>
          <w:sz w:val="32"/>
          <w:szCs w:val="32"/>
        </w:rPr>
      </w:pPr>
      <w:r>
        <w:rPr>
          <w:rFonts w:hint="eastAsia" w:eastAsia="方正楷体简体"/>
          <w:b/>
          <w:sz w:val="32"/>
          <w:szCs w:val="32"/>
          <w:lang w:val="pt-BR"/>
        </w:rPr>
        <w:t>（</w:t>
      </w:r>
      <w:r>
        <w:rPr>
          <w:rFonts w:hint="eastAsia" w:eastAsia="方正楷体简体"/>
          <w:b/>
          <w:sz w:val="32"/>
          <w:szCs w:val="32"/>
        </w:rPr>
        <w:t>一</w:t>
      </w:r>
      <w:r>
        <w:rPr>
          <w:rFonts w:hint="eastAsia" w:eastAsia="方正楷体简体"/>
          <w:b/>
          <w:sz w:val="32"/>
          <w:szCs w:val="32"/>
          <w:lang w:val="pt-BR"/>
        </w:rPr>
        <w:t>）</w:t>
      </w:r>
      <w:r>
        <w:rPr>
          <w:rFonts w:hint="eastAsia" w:eastAsia="方正楷体简体"/>
          <w:b/>
          <w:sz w:val="32"/>
          <w:szCs w:val="32"/>
        </w:rPr>
        <w:t>产地管理。</w:t>
      </w:r>
    </w:p>
    <w:p>
      <w:pPr>
        <w:spacing w:line="594" w:lineRule="exact"/>
        <w:ind w:firstLine="640" w:firstLineChars="200"/>
        <w:rPr>
          <w:rFonts w:hint="eastAsia" w:ascii="方正仿宋简体" w:hAnsi="Arial" w:eastAsia="方正仿宋简体" w:cs="Arial"/>
          <w:sz w:val="32"/>
          <w:szCs w:val="32"/>
        </w:rPr>
      </w:pPr>
      <w:r>
        <w:rPr>
          <w:rFonts w:hint="eastAsia" w:ascii="方正仿宋简体" w:hAnsi="Arial" w:eastAsia="方正仿宋简体" w:cs="Arial"/>
          <w:sz w:val="32"/>
          <w:szCs w:val="32"/>
        </w:rPr>
        <w:t>乌方负责监督检验与出口甜菜粕有关的所有环节，包括播种，收获，储存，加工，运输和出口。乌方应采取措施，防止附件中所列的检疫性有害生物的混入，同时防止土壤和植物残体输入中国。</w:t>
      </w:r>
    </w:p>
    <w:p>
      <w:pPr>
        <w:spacing w:line="594" w:lineRule="exact"/>
        <w:ind w:firstLine="643" w:firstLineChars="200"/>
        <w:rPr>
          <w:rFonts w:eastAsia="方正楷体简体"/>
          <w:b/>
          <w:sz w:val="32"/>
          <w:szCs w:val="32"/>
        </w:rPr>
      </w:pPr>
      <w:r>
        <w:rPr>
          <w:rFonts w:hint="eastAsia" w:eastAsia="方正楷体简体"/>
          <w:b/>
          <w:sz w:val="32"/>
          <w:szCs w:val="32"/>
        </w:rPr>
        <w:t>（二）加工储运及包装要求。</w:t>
      </w:r>
    </w:p>
    <w:p>
      <w:pPr>
        <w:spacing w:line="594" w:lineRule="exact"/>
        <w:ind w:firstLine="640" w:firstLineChars="200"/>
        <w:rPr>
          <w:rFonts w:hint="eastAsia" w:eastAsia="方正仿宋简体"/>
          <w:color w:val="000000"/>
          <w:sz w:val="32"/>
          <w:szCs w:val="32"/>
        </w:rPr>
      </w:pPr>
      <w:r>
        <w:rPr>
          <w:rFonts w:hint="eastAsia" w:eastAsia="方正仿宋简体"/>
          <w:color w:val="000000"/>
          <w:sz w:val="32"/>
          <w:szCs w:val="32"/>
        </w:rPr>
        <w:t>1. 加工企业应加强对原辅料、生产加工、仓储、运输等环节的卫生控制，避免甜菜粕被原料、土壤、动物尸体及粪便、植物或动物残体等污染，不得添加有毒有害物质和任何动物源性成分，不得带有未经中国官方批准的转基因成份。</w:t>
      </w:r>
    </w:p>
    <w:p>
      <w:pPr>
        <w:widowControl/>
        <w:spacing w:line="594" w:lineRule="exact"/>
        <w:ind w:firstLine="566" w:firstLineChars="177"/>
        <w:rPr>
          <w:rFonts w:hint="eastAsia" w:eastAsia="方正仿宋简体"/>
          <w:color w:val="000000"/>
          <w:sz w:val="32"/>
          <w:szCs w:val="32"/>
        </w:rPr>
      </w:pPr>
      <w:r>
        <w:rPr>
          <w:rFonts w:hint="eastAsia" w:eastAsia="方正仿宋简体"/>
          <w:color w:val="000000"/>
          <w:sz w:val="32"/>
          <w:szCs w:val="32"/>
        </w:rPr>
        <w:t>2. 输华甜菜粕应与原料和其他产品分开单独密闭存放。存放仓库应采取有效的防鼠、虫、鸟措施，防止有害生物二次侵入。</w:t>
      </w:r>
    </w:p>
    <w:p>
      <w:pPr>
        <w:widowControl/>
        <w:spacing w:line="594" w:lineRule="exact"/>
        <w:ind w:firstLine="566" w:firstLineChars="177"/>
        <w:rPr>
          <w:rFonts w:hint="eastAsia" w:eastAsia="方正仿宋简体"/>
          <w:color w:val="000000"/>
          <w:sz w:val="32"/>
          <w:szCs w:val="32"/>
        </w:rPr>
      </w:pPr>
      <w:r>
        <w:rPr>
          <w:rFonts w:hint="eastAsia" w:eastAsia="方正仿宋简体"/>
          <w:color w:val="000000"/>
          <w:sz w:val="32"/>
          <w:szCs w:val="32"/>
        </w:rPr>
        <w:t>3. 用于包装输华甜菜粕的包装袋应干净卫生，运输工具应彻底清扫干净，必要时需进行消毒。</w:t>
      </w:r>
    </w:p>
    <w:p>
      <w:pPr>
        <w:widowControl/>
        <w:spacing w:line="594" w:lineRule="exact"/>
        <w:ind w:firstLine="643" w:firstLineChars="200"/>
        <w:rPr>
          <w:rFonts w:hint="eastAsia" w:ascii="inherit" w:hAnsi="inherit" w:cs="宋体"/>
          <w:kern w:val="0"/>
          <w:sz w:val="24"/>
        </w:rPr>
      </w:pPr>
      <w:r>
        <w:rPr>
          <w:rFonts w:hint="eastAsia" w:ascii="方正楷体简体" w:hAnsi="inherit" w:eastAsia="方正楷体简体" w:cs="宋体"/>
          <w:b/>
          <w:bCs/>
          <w:kern w:val="0"/>
          <w:sz w:val="32"/>
          <w:szCs w:val="32"/>
        </w:rPr>
        <w:t>（三）出口前检疫。</w:t>
      </w:r>
    </w:p>
    <w:p>
      <w:pPr>
        <w:snapToGrid w:val="0"/>
        <w:spacing w:line="594" w:lineRule="exact"/>
        <w:ind w:firstLine="640" w:firstLineChars="200"/>
        <w:rPr>
          <w:rFonts w:eastAsia="方正仿宋简体"/>
          <w:color w:val="000000"/>
          <w:sz w:val="32"/>
          <w:szCs w:val="32"/>
        </w:rPr>
      </w:pPr>
      <w:r>
        <w:rPr>
          <w:rFonts w:hint="eastAsia" w:eastAsia="方正仿宋简体"/>
          <w:color w:val="000000"/>
          <w:sz w:val="32"/>
          <w:szCs w:val="32"/>
        </w:rPr>
        <w:t>乌方</w:t>
      </w:r>
      <w:r>
        <w:rPr>
          <w:rFonts w:eastAsia="方正仿宋简体"/>
          <w:color w:val="000000"/>
          <w:sz w:val="32"/>
          <w:szCs w:val="32"/>
        </w:rPr>
        <w:t>应加强对输华</w:t>
      </w:r>
      <w:r>
        <w:rPr>
          <w:rFonts w:hint="eastAsia" w:eastAsia="方正仿宋简体"/>
          <w:color w:val="000000"/>
          <w:sz w:val="32"/>
          <w:szCs w:val="32"/>
        </w:rPr>
        <w:t>甜菜粕</w:t>
      </w:r>
      <w:r>
        <w:rPr>
          <w:rFonts w:eastAsia="方正仿宋简体"/>
          <w:color w:val="000000"/>
          <w:sz w:val="32"/>
          <w:szCs w:val="32"/>
        </w:rPr>
        <w:t>加工厂的日常监管，确保产品安全卫生状况。离境前，</w:t>
      </w:r>
      <w:r>
        <w:rPr>
          <w:rFonts w:hint="eastAsia" w:eastAsia="方正仿宋简体"/>
          <w:color w:val="000000"/>
          <w:sz w:val="32"/>
          <w:szCs w:val="32"/>
        </w:rPr>
        <w:t>乌方</w:t>
      </w:r>
      <w:r>
        <w:rPr>
          <w:rFonts w:eastAsia="方正仿宋简体"/>
          <w:color w:val="000000"/>
          <w:sz w:val="32"/>
          <w:szCs w:val="32"/>
        </w:rPr>
        <w:t>应按照双边议定书要求对</w:t>
      </w:r>
      <w:r>
        <w:rPr>
          <w:rFonts w:hint="eastAsia" w:eastAsia="方正仿宋简体"/>
          <w:color w:val="000000"/>
          <w:sz w:val="32"/>
          <w:szCs w:val="32"/>
        </w:rPr>
        <w:t>甜菜粕</w:t>
      </w:r>
      <w:r>
        <w:rPr>
          <w:rFonts w:eastAsia="方正仿宋简体"/>
          <w:color w:val="000000"/>
          <w:sz w:val="32"/>
          <w:szCs w:val="32"/>
        </w:rPr>
        <w:t>进行现场检疫，如经检疫发现活的有害生物，该批</w:t>
      </w:r>
      <w:r>
        <w:rPr>
          <w:rFonts w:hint="eastAsia" w:eastAsia="方正仿宋简体"/>
          <w:color w:val="000000"/>
          <w:sz w:val="32"/>
          <w:szCs w:val="32"/>
        </w:rPr>
        <w:t>葵粕</w:t>
      </w:r>
      <w:r>
        <w:rPr>
          <w:rFonts w:eastAsia="方正仿宋简体"/>
          <w:color w:val="000000"/>
          <w:sz w:val="32"/>
          <w:szCs w:val="32"/>
        </w:rPr>
        <w:t>不得输往中国。</w:t>
      </w:r>
      <w:r>
        <w:rPr>
          <w:rFonts w:hint="eastAsia" w:eastAsia="方正仿宋简体"/>
          <w:color w:val="000000"/>
          <w:sz w:val="32"/>
          <w:szCs w:val="32"/>
        </w:rPr>
        <w:t>乌方应确保经</w:t>
      </w:r>
      <w:r>
        <w:rPr>
          <w:rFonts w:eastAsia="方正仿宋简体"/>
          <w:color w:val="000000"/>
          <w:sz w:val="32"/>
          <w:szCs w:val="32"/>
        </w:rPr>
        <w:t>检疫合格的</w:t>
      </w:r>
      <w:r>
        <w:rPr>
          <w:rFonts w:hint="eastAsia" w:eastAsia="方正仿宋简体"/>
          <w:color w:val="000000"/>
          <w:sz w:val="32"/>
          <w:szCs w:val="32"/>
        </w:rPr>
        <w:t>甜菜粕</w:t>
      </w:r>
      <w:r>
        <w:rPr>
          <w:rFonts w:eastAsia="方正仿宋简体"/>
          <w:color w:val="000000"/>
          <w:sz w:val="32"/>
          <w:szCs w:val="32"/>
        </w:rPr>
        <w:t>向中国出口。经检验检疫合格的，</w:t>
      </w:r>
      <w:r>
        <w:rPr>
          <w:rFonts w:hint="eastAsia" w:eastAsia="方正仿宋简体"/>
          <w:color w:val="000000"/>
          <w:sz w:val="32"/>
          <w:szCs w:val="32"/>
        </w:rPr>
        <w:t>乌方</w:t>
      </w:r>
      <w:r>
        <w:rPr>
          <w:rFonts w:eastAsia="方正仿宋简体"/>
          <w:color w:val="000000"/>
          <w:sz w:val="32"/>
          <w:szCs w:val="32"/>
        </w:rPr>
        <w:t>应出具官方植物检疫证书</w:t>
      </w:r>
      <w:r>
        <w:rPr>
          <w:rFonts w:hint="eastAsia" w:eastAsia="方正仿宋简体"/>
          <w:color w:val="000000"/>
          <w:sz w:val="32"/>
          <w:szCs w:val="32"/>
        </w:rPr>
        <w:t>、动物卫生证书</w:t>
      </w:r>
      <w:r>
        <w:rPr>
          <w:rFonts w:eastAsia="方正仿宋简体"/>
          <w:color w:val="000000"/>
          <w:sz w:val="32"/>
          <w:szCs w:val="32"/>
        </w:rPr>
        <w:t>。</w:t>
      </w:r>
    </w:p>
    <w:p>
      <w:pPr>
        <w:spacing w:line="594" w:lineRule="exact"/>
        <w:ind w:firstLine="643" w:firstLineChars="200"/>
        <w:rPr>
          <w:rFonts w:eastAsia="方正楷体简体"/>
          <w:b/>
          <w:sz w:val="32"/>
          <w:szCs w:val="32"/>
        </w:rPr>
      </w:pPr>
      <w:r>
        <w:rPr>
          <w:rFonts w:eastAsia="方正楷体简体"/>
          <w:b/>
          <w:sz w:val="32"/>
          <w:szCs w:val="32"/>
        </w:rPr>
        <w:t>（</w:t>
      </w:r>
      <w:r>
        <w:rPr>
          <w:rFonts w:hint="eastAsia" w:eastAsia="方正楷体简体"/>
          <w:b/>
          <w:sz w:val="32"/>
          <w:szCs w:val="32"/>
        </w:rPr>
        <w:t>四</w:t>
      </w:r>
      <w:r>
        <w:rPr>
          <w:rFonts w:eastAsia="方正楷体简体"/>
          <w:b/>
          <w:sz w:val="32"/>
          <w:szCs w:val="32"/>
        </w:rPr>
        <w:t>）证书要求</w:t>
      </w:r>
      <w:r>
        <w:rPr>
          <w:rFonts w:hint="eastAsia" w:eastAsia="方正楷体简体"/>
          <w:b/>
          <w:sz w:val="32"/>
          <w:szCs w:val="32"/>
        </w:rPr>
        <w:t>。</w:t>
      </w:r>
    </w:p>
    <w:p>
      <w:pPr>
        <w:spacing w:line="594" w:lineRule="exact"/>
        <w:ind w:firstLine="566" w:firstLineChars="177"/>
        <w:rPr>
          <w:rFonts w:hint="eastAsia" w:eastAsia="方正仿宋简体"/>
          <w:color w:val="000000"/>
          <w:sz w:val="32"/>
          <w:szCs w:val="32"/>
        </w:rPr>
      </w:pPr>
      <w:r>
        <w:rPr>
          <w:rFonts w:hint="eastAsia" w:eastAsia="方正仿宋简体"/>
          <w:color w:val="000000"/>
          <w:sz w:val="32"/>
          <w:szCs w:val="32"/>
        </w:rPr>
        <w:t>每批输华甜菜粕应随附乌官方出具的符合国际植物检疫措施标准第12号要求的植物检疫证书。植物检疫证书应注明生产加工企业名称和注册登记号码、集装箱号码等信息；输出前或运输途中经除害处理的，应注明除害处理方式及处理指标等信息。植物检疫证书附加声明栏同时应注明：“该批货物符合中乌双方关于乌克兰甜菜粕输华卫生与植物卫生条件的议定书要求”。</w:t>
      </w:r>
    </w:p>
    <w:p>
      <w:pPr>
        <w:widowControl/>
        <w:spacing w:line="594" w:lineRule="exact"/>
        <w:ind w:firstLine="566" w:firstLineChars="177"/>
        <w:rPr>
          <w:rFonts w:hint="eastAsia" w:eastAsia="方正仿宋简体"/>
          <w:color w:val="000000"/>
          <w:sz w:val="32"/>
          <w:szCs w:val="32"/>
        </w:rPr>
      </w:pPr>
      <w:r>
        <w:rPr>
          <w:rFonts w:hint="eastAsia" w:eastAsia="方正仿宋简体"/>
          <w:color w:val="000000"/>
          <w:sz w:val="32"/>
          <w:szCs w:val="32"/>
        </w:rPr>
        <w:t>每批输华甜菜粕应进行理化指标、重金属、农药残留、微生物、真菌毒素、放射性残留等项目检测，并随附由乌克兰官方出具的动物卫生证书。</w:t>
      </w:r>
    </w:p>
    <w:p>
      <w:pPr>
        <w:widowControl/>
        <w:spacing w:line="594" w:lineRule="exact"/>
        <w:ind w:firstLine="640" w:firstLineChars="200"/>
        <w:rPr>
          <w:rFonts w:hint="eastAsia" w:ascii="方正黑体简体" w:hAnsi="inherit" w:eastAsia="方正黑体简体" w:cs="宋体"/>
          <w:kern w:val="0"/>
          <w:sz w:val="32"/>
          <w:szCs w:val="32"/>
        </w:rPr>
      </w:pPr>
      <w:r>
        <w:rPr>
          <w:rFonts w:hint="eastAsia" w:ascii="方正黑体简体" w:hAnsi="inherit" w:eastAsia="方正黑体简体" w:cs="宋体"/>
          <w:kern w:val="0"/>
          <w:sz w:val="32"/>
          <w:szCs w:val="32"/>
        </w:rPr>
        <w:t>五、进境检疫</w:t>
      </w:r>
    </w:p>
    <w:p>
      <w:pPr>
        <w:spacing w:line="594" w:lineRule="exact"/>
        <w:ind w:firstLine="643" w:firstLineChars="200"/>
        <w:rPr>
          <w:rFonts w:hint="eastAsia" w:eastAsia="方正楷体简体"/>
          <w:b/>
          <w:sz w:val="32"/>
          <w:szCs w:val="32"/>
        </w:rPr>
      </w:pPr>
      <w:r>
        <w:rPr>
          <w:rFonts w:hint="eastAsia" w:eastAsia="方正楷体简体"/>
          <w:b/>
          <w:sz w:val="32"/>
          <w:szCs w:val="32"/>
        </w:rPr>
        <w:t>（一）检疫审批。</w:t>
      </w:r>
    </w:p>
    <w:p>
      <w:pPr>
        <w:widowControl/>
        <w:spacing w:line="594" w:lineRule="exact"/>
        <w:ind w:firstLine="640" w:firstLineChars="200"/>
        <w:rPr>
          <w:rFonts w:hint="eastAsia" w:eastAsia="方正仿宋简体"/>
          <w:sz w:val="32"/>
          <w:szCs w:val="32"/>
        </w:rPr>
      </w:pPr>
      <w:r>
        <w:rPr>
          <w:rFonts w:eastAsia="方正仿宋简体"/>
          <w:sz w:val="32"/>
          <w:szCs w:val="32"/>
        </w:rPr>
        <w:t>进口前，进口商应向质检总局申请办理《进境动植物检疫许可证》</w:t>
      </w:r>
      <w:r>
        <w:rPr>
          <w:rFonts w:hint="eastAsia" w:eastAsia="方正仿宋简体"/>
          <w:sz w:val="32"/>
          <w:szCs w:val="32"/>
        </w:rPr>
        <w:t>。</w:t>
      </w:r>
    </w:p>
    <w:p>
      <w:pPr>
        <w:widowControl/>
        <w:spacing w:line="594" w:lineRule="exact"/>
        <w:ind w:firstLine="643" w:firstLineChars="200"/>
        <w:rPr>
          <w:rFonts w:hint="eastAsia" w:ascii="inherit" w:hAnsi="inherit" w:cs="宋体"/>
          <w:kern w:val="0"/>
          <w:sz w:val="24"/>
        </w:rPr>
      </w:pPr>
      <w:r>
        <w:rPr>
          <w:rFonts w:hint="eastAsia" w:ascii="方正楷体简体" w:hAnsi="inherit" w:eastAsia="方正楷体简体" w:cs="宋体"/>
          <w:b/>
          <w:bCs/>
          <w:kern w:val="0"/>
          <w:sz w:val="32"/>
          <w:szCs w:val="32"/>
        </w:rPr>
        <w:t>（二）证书核查。</w:t>
      </w:r>
    </w:p>
    <w:p>
      <w:pPr>
        <w:widowControl/>
        <w:spacing w:line="594" w:lineRule="exact"/>
        <w:ind w:firstLine="616" w:firstLineChars="200"/>
        <w:rPr>
          <w:rFonts w:hint="eastAsia" w:ascii="inherit" w:hAnsi="inherit" w:cs="宋体"/>
          <w:spacing w:val="-6"/>
          <w:kern w:val="0"/>
          <w:sz w:val="24"/>
        </w:rPr>
      </w:pPr>
      <w:r>
        <w:rPr>
          <w:rFonts w:hint="eastAsia" w:ascii="方正仿宋简体" w:hAnsi="Arial" w:eastAsia="方正仿宋简体" w:cs="Arial"/>
          <w:spacing w:val="-6"/>
          <w:kern w:val="0"/>
          <w:sz w:val="32"/>
          <w:szCs w:val="32"/>
        </w:rPr>
        <w:t>1. 核查进境乌克兰甜菜粕是否附有《进境动植物检疫许可证》。</w:t>
      </w:r>
    </w:p>
    <w:p>
      <w:pPr>
        <w:widowControl/>
        <w:spacing w:line="594" w:lineRule="exact"/>
        <w:ind w:firstLine="640" w:firstLineChars="200"/>
        <w:rPr>
          <w:rFonts w:hint="eastAsia" w:ascii="inherit" w:hAnsi="inherit" w:cs="宋体"/>
          <w:kern w:val="0"/>
          <w:sz w:val="24"/>
        </w:rPr>
      </w:pPr>
      <w:r>
        <w:rPr>
          <w:rFonts w:hint="eastAsia" w:ascii="方正仿宋简体" w:hAnsi="Arial" w:eastAsia="方正仿宋简体" w:cs="Arial"/>
          <w:kern w:val="0"/>
          <w:sz w:val="32"/>
          <w:szCs w:val="32"/>
        </w:rPr>
        <w:t>2. 核查</w:t>
      </w:r>
      <w:r>
        <w:rPr>
          <w:rFonts w:ascii="inherit" w:hAnsi="inherit" w:eastAsia="方正仿宋简体" w:cs="Arial"/>
          <w:kern w:val="0"/>
          <w:sz w:val="32"/>
          <w:szCs w:val="32"/>
        </w:rPr>
        <w:t>MAPFU</w:t>
      </w:r>
      <w:r>
        <w:rPr>
          <w:rFonts w:hint="eastAsia" w:ascii="方正仿宋简体" w:hAnsi="Arial" w:eastAsia="方正仿宋简体" w:cs="Arial"/>
          <w:kern w:val="0"/>
          <w:sz w:val="32"/>
          <w:szCs w:val="32"/>
        </w:rPr>
        <w:t>出具的植物检疫证书、动物卫生证书是否与样本相符。</w:t>
      </w:r>
    </w:p>
    <w:p>
      <w:pPr>
        <w:widowControl/>
        <w:spacing w:line="594" w:lineRule="exact"/>
        <w:ind w:firstLine="643" w:firstLineChars="200"/>
        <w:rPr>
          <w:rFonts w:hint="eastAsia" w:ascii="inherit" w:hAnsi="inherit" w:cs="宋体"/>
          <w:kern w:val="0"/>
          <w:sz w:val="24"/>
        </w:rPr>
      </w:pPr>
      <w:r>
        <w:rPr>
          <w:rFonts w:hint="eastAsia" w:ascii="方正楷体简体" w:hAnsi="inherit" w:eastAsia="方正楷体简体" w:cs="宋体"/>
          <w:b/>
          <w:bCs/>
          <w:kern w:val="0"/>
          <w:sz w:val="32"/>
          <w:szCs w:val="32"/>
        </w:rPr>
        <w:t>（三）进境检验检疫。</w:t>
      </w:r>
    </w:p>
    <w:p>
      <w:pPr>
        <w:widowControl/>
        <w:spacing w:line="594" w:lineRule="exact"/>
        <w:ind w:firstLine="640" w:firstLineChars="200"/>
        <w:rPr>
          <w:rFonts w:hint="eastAsia" w:ascii="inherit" w:hAnsi="inherit" w:cs="宋体"/>
          <w:kern w:val="0"/>
          <w:sz w:val="24"/>
        </w:rPr>
      </w:pPr>
      <w:r>
        <w:rPr>
          <w:rFonts w:hint="eastAsia" w:ascii="方正仿宋简体" w:hAnsi="Arial" w:eastAsia="方正仿宋简体" w:cs="Arial"/>
          <w:kern w:val="0"/>
          <w:sz w:val="32"/>
          <w:szCs w:val="32"/>
        </w:rPr>
        <w:t>根据《检验检疫工作手册》植物检验检疫分册中《进境饲料检验检疫工作程序》的规定，结合本要求第四条和附件所列中方关注的检疫性有害生物名录，对进境甜菜粕实施检验检疫。</w:t>
      </w:r>
    </w:p>
    <w:p>
      <w:pPr>
        <w:widowControl/>
        <w:spacing w:line="594" w:lineRule="exact"/>
        <w:ind w:firstLine="640" w:firstLineChars="200"/>
        <w:rPr>
          <w:rFonts w:hint="eastAsia" w:ascii="inherit" w:hAnsi="inherit" w:cs="宋体"/>
          <w:kern w:val="0"/>
          <w:sz w:val="24"/>
        </w:rPr>
      </w:pPr>
      <w:r>
        <w:rPr>
          <w:rFonts w:hint="eastAsia" w:ascii="方正黑体简体" w:hAnsi="inherit" w:eastAsia="方正黑体简体" w:cs="宋体"/>
          <w:kern w:val="0"/>
          <w:sz w:val="32"/>
          <w:szCs w:val="32"/>
        </w:rPr>
        <w:t>六、不符合情况处理</w:t>
      </w:r>
    </w:p>
    <w:p>
      <w:pPr>
        <w:widowControl/>
        <w:spacing w:line="594" w:lineRule="exact"/>
        <w:ind w:firstLine="640" w:firstLineChars="200"/>
        <w:rPr>
          <w:rFonts w:hint="eastAsia" w:ascii="方正仿宋简体" w:hAnsi="Arial" w:eastAsia="方正仿宋简体" w:cs="方正仿宋简体"/>
          <w:kern w:val="0"/>
          <w:sz w:val="32"/>
          <w:szCs w:val="32"/>
        </w:rPr>
      </w:pPr>
      <w:r>
        <w:rPr>
          <w:rFonts w:hint="eastAsia" w:ascii="方正仿宋简体" w:hAnsi="Arial" w:eastAsia="方正仿宋简体" w:cs="方正仿宋简体"/>
          <w:kern w:val="0"/>
          <w:sz w:val="32"/>
          <w:szCs w:val="32"/>
        </w:rPr>
        <w:t>进口甜菜粕发生以下情况时，按规定作以下处理：</w:t>
      </w:r>
    </w:p>
    <w:p>
      <w:pPr>
        <w:widowControl/>
        <w:spacing w:line="594" w:lineRule="exact"/>
        <w:ind w:firstLine="640" w:firstLineChars="200"/>
        <w:rPr>
          <w:rFonts w:hint="eastAsia" w:ascii="inherit" w:hAnsi="inherit" w:cs="宋体"/>
          <w:kern w:val="0"/>
          <w:sz w:val="24"/>
        </w:rPr>
      </w:pPr>
      <w:r>
        <w:rPr>
          <w:rFonts w:hint="eastAsia" w:ascii="方正仿宋简体" w:hAnsi="Arial" w:eastAsia="方正仿宋简体" w:cs="方正仿宋简体"/>
          <w:kern w:val="0"/>
          <w:sz w:val="32"/>
          <w:szCs w:val="32"/>
        </w:rPr>
        <w:t>（一）植物检疫证书或动物卫生证书不符合要求，作退回或销毁处理；</w:t>
      </w:r>
    </w:p>
    <w:p>
      <w:pPr>
        <w:widowControl/>
        <w:spacing w:line="594" w:lineRule="exact"/>
        <w:ind w:firstLine="640" w:firstLineChars="200"/>
        <w:rPr>
          <w:rFonts w:hint="eastAsia" w:ascii="inherit" w:hAnsi="inherit" w:cs="宋体"/>
          <w:kern w:val="0"/>
          <w:sz w:val="24"/>
        </w:rPr>
      </w:pPr>
      <w:r>
        <w:rPr>
          <w:rFonts w:hint="eastAsia" w:ascii="方正仿宋简体" w:hAnsi="Arial" w:eastAsia="方正仿宋简体" w:cs="方正仿宋简体"/>
          <w:kern w:val="0"/>
          <w:sz w:val="32"/>
          <w:szCs w:val="32"/>
        </w:rPr>
        <w:t>（二）发现活的检疫性有害生物，作除害、退回或销毁处理；</w:t>
      </w:r>
    </w:p>
    <w:p>
      <w:pPr>
        <w:widowControl/>
        <w:spacing w:line="594" w:lineRule="exact"/>
        <w:ind w:firstLine="640" w:firstLineChars="200"/>
        <w:rPr>
          <w:rFonts w:hint="eastAsia" w:ascii="inherit" w:hAnsi="inherit" w:cs="宋体"/>
          <w:kern w:val="0"/>
          <w:sz w:val="24"/>
        </w:rPr>
      </w:pPr>
      <w:r>
        <w:rPr>
          <w:rFonts w:hint="eastAsia" w:ascii="方正仿宋简体" w:hAnsi="Arial" w:eastAsia="方正仿宋简体" w:cs="方正仿宋简体"/>
          <w:kern w:val="0"/>
          <w:sz w:val="32"/>
          <w:szCs w:val="32"/>
        </w:rPr>
        <w:t>（三）发现其他活的有害生物，作除害、退回或销毁处理；</w:t>
      </w:r>
    </w:p>
    <w:p>
      <w:pPr>
        <w:widowControl/>
        <w:spacing w:line="594" w:lineRule="exact"/>
        <w:ind w:firstLine="640" w:firstLineChars="200"/>
        <w:rPr>
          <w:rFonts w:hint="eastAsia" w:ascii="inherit" w:hAnsi="inherit" w:cs="宋体"/>
          <w:kern w:val="0"/>
          <w:sz w:val="24"/>
        </w:rPr>
      </w:pPr>
      <w:r>
        <w:rPr>
          <w:rFonts w:hint="eastAsia" w:ascii="方正仿宋简体" w:hAnsi="Arial" w:eastAsia="方正仿宋简体" w:cs="方正仿宋简体"/>
          <w:kern w:val="0"/>
          <w:sz w:val="32"/>
          <w:szCs w:val="32"/>
        </w:rPr>
        <w:t>（四）发现土壤、未经中国官方批准的转基因成分，作退回或销毁处理；</w:t>
      </w:r>
    </w:p>
    <w:p>
      <w:pPr>
        <w:widowControl/>
        <w:spacing w:line="594" w:lineRule="exact"/>
        <w:ind w:firstLine="640" w:firstLineChars="200"/>
        <w:rPr>
          <w:rFonts w:ascii="方正仿宋简体" w:hAnsi="Arial" w:eastAsia="方正仿宋简体" w:cs="方正仿宋简体"/>
          <w:kern w:val="0"/>
          <w:sz w:val="32"/>
          <w:szCs w:val="32"/>
        </w:rPr>
      </w:pPr>
      <w:r>
        <w:rPr>
          <w:rFonts w:hint="eastAsia" w:ascii="方正仿宋简体" w:hAnsi="Arial" w:eastAsia="方正仿宋简体" w:cs="方正仿宋简体"/>
          <w:kern w:val="0"/>
          <w:sz w:val="32"/>
          <w:szCs w:val="32"/>
        </w:rPr>
        <w:t>（五）发现动物粪便、动物尸体、禽类羽毛、植物种子或不符合中国饲料相关安全卫生标准，按照相关法律法规作除害、退回或销毁处理。</w:t>
      </w:r>
    </w:p>
    <w:p>
      <w:pPr>
        <w:spacing w:line="594" w:lineRule="exact"/>
        <w:ind w:firstLine="640" w:firstLineChars="200"/>
        <w:rPr>
          <w:rFonts w:hint="eastAsia" w:eastAsia="方正仿宋简体"/>
          <w:sz w:val="32"/>
          <w:szCs w:val="32"/>
        </w:rPr>
      </w:pPr>
      <w:r>
        <w:rPr>
          <w:rFonts w:hint="eastAsia" w:ascii="方正仿宋简体" w:hAnsi="Arial" w:eastAsia="方正仿宋简体" w:cs="方正仿宋简体"/>
          <w:kern w:val="0"/>
          <w:sz w:val="32"/>
          <w:szCs w:val="32"/>
        </w:rPr>
        <w:t>（六）</w:t>
      </w:r>
      <w:r>
        <w:rPr>
          <w:rFonts w:eastAsia="方正仿宋简体"/>
          <w:sz w:val="32"/>
          <w:szCs w:val="32"/>
        </w:rPr>
        <w:t>如检出农药残留、重金属污染物等超出中国国家标准，将采取退运或销毁等处理。</w:t>
      </w:r>
    </w:p>
    <w:p>
      <w:pPr>
        <w:widowControl/>
        <w:spacing w:line="594" w:lineRule="exact"/>
        <w:ind w:firstLine="566" w:firstLineChars="177"/>
        <w:rPr>
          <w:rFonts w:hint="eastAsia" w:ascii="inherit" w:hAnsi="inherit" w:cs="宋体"/>
          <w:kern w:val="0"/>
          <w:sz w:val="24"/>
        </w:rPr>
      </w:pPr>
      <w:r>
        <w:rPr>
          <w:rFonts w:hint="eastAsia" w:ascii="方正仿宋简体" w:hAnsi="Arial" w:eastAsia="方正仿宋简体" w:cs="方正仿宋简体"/>
          <w:kern w:val="0"/>
          <w:sz w:val="32"/>
          <w:szCs w:val="32"/>
        </w:rPr>
        <w:t>如遇严重违规情况，</w:t>
      </w:r>
      <w:r>
        <w:rPr>
          <w:rFonts w:ascii="inherit" w:hAnsi="inherit" w:eastAsia="方正仿宋简体" w:cs="方正仿宋简体"/>
          <w:kern w:val="0"/>
          <w:sz w:val="32"/>
          <w:szCs w:val="32"/>
        </w:rPr>
        <w:t>AQSIQ</w:t>
      </w:r>
      <w:r>
        <w:rPr>
          <w:rFonts w:hint="eastAsia" w:ascii="方正仿宋简体" w:hAnsi="Arial" w:eastAsia="方正仿宋简体" w:cs="方正仿宋简体"/>
          <w:kern w:val="0"/>
          <w:sz w:val="32"/>
          <w:szCs w:val="32"/>
        </w:rPr>
        <w:t>将向</w:t>
      </w:r>
      <w:r>
        <w:rPr>
          <w:rFonts w:ascii="inherit" w:hAnsi="inherit" w:eastAsia="方正仿宋简体" w:cs="方正仿宋简体"/>
          <w:kern w:val="0"/>
          <w:sz w:val="32"/>
          <w:szCs w:val="32"/>
        </w:rPr>
        <w:t>MAPFU</w:t>
      </w:r>
      <w:r>
        <w:rPr>
          <w:rFonts w:hint="eastAsia" w:ascii="方正仿宋简体" w:hAnsi="Arial" w:eastAsia="方正仿宋简体" w:cs="方正仿宋简体"/>
          <w:kern w:val="0"/>
          <w:sz w:val="32"/>
          <w:szCs w:val="32"/>
        </w:rPr>
        <w:t>通报，并根据违规严重程度采取暂停相关加工厂等追加措施。</w:t>
      </w:r>
    </w:p>
    <w:p>
      <w:pPr>
        <w:widowControl/>
        <w:spacing w:line="594" w:lineRule="exact"/>
        <w:ind w:firstLine="566" w:firstLineChars="177"/>
        <w:rPr>
          <w:rFonts w:hint="eastAsia" w:ascii="方正仿宋简体" w:hAnsi="Arial" w:eastAsia="方正仿宋简体" w:cs="方正仿宋简体"/>
          <w:kern w:val="0"/>
          <w:sz w:val="32"/>
          <w:szCs w:val="32"/>
        </w:rPr>
      </w:pPr>
    </w:p>
    <w:p>
      <w:pPr>
        <w:widowControl/>
        <w:spacing w:line="594" w:lineRule="exact"/>
        <w:ind w:firstLine="566" w:firstLineChars="177"/>
        <w:rPr>
          <w:rFonts w:hint="eastAsia" w:ascii="inherit" w:hAnsi="inherit" w:cs="宋体"/>
          <w:kern w:val="0"/>
          <w:sz w:val="24"/>
        </w:rPr>
      </w:pPr>
      <w:r>
        <w:rPr>
          <w:rFonts w:hint="eastAsia" w:ascii="方正仿宋简体" w:hAnsi="Arial" w:eastAsia="方正仿宋简体" w:cs="方正仿宋简体"/>
          <w:kern w:val="0"/>
          <w:sz w:val="32"/>
          <w:szCs w:val="32"/>
        </w:rPr>
        <w:t>附：</w:t>
      </w:r>
      <w:r>
        <w:rPr>
          <w:rFonts w:hint="eastAsia" w:ascii="方正仿宋简体" w:eastAsia="方正仿宋简体"/>
          <w:kern w:val="0"/>
          <w:sz w:val="32"/>
          <w:szCs w:val="32"/>
        </w:rPr>
        <w:t>中方关注的检疫性有害生物</w:t>
      </w:r>
      <w:bookmarkStart w:id="2" w:name="_GoBack"/>
      <w:bookmarkEnd w:id="2"/>
    </w:p>
    <w:p>
      <w:pPr>
        <w:widowControl/>
        <w:spacing w:line="594" w:lineRule="exact"/>
        <w:rPr>
          <w:rFonts w:hint="eastAsia" w:ascii="inherit" w:hAnsi="inherit" w:cs="宋体"/>
          <w:kern w:val="0"/>
          <w:sz w:val="24"/>
        </w:rPr>
      </w:pPr>
    </w:p>
    <w:p>
      <w:pPr>
        <w:widowControl/>
        <w:spacing w:line="594" w:lineRule="exact"/>
        <w:jc w:val="left"/>
        <w:rPr>
          <w:rFonts w:hint="eastAsia" w:ascii="inherit" w:hAnsi="inherit" w:cs="宋体"/>
          <w:kern w:val="0"/>
          <w:sz w:val="24"/>
        </w:rPr>
      </w:pPr>
      <w:r>
        <w:rPr>
          <w:rFonts w:ascii="inherit" w:hAnsi="inherit" w:cs="宋体"/>
          <w:kern w:val="0"/>
          <w:sz w:val="24"/>
        </w:rPr>
        <w:t> </w:t>
      </w:r>
      <w:r>
        <w:rPr>
          <w:rFonts w:hint="eastAsia" w:ascii="方正黑体简体" w:hAnsi="inherit" w:eastAsia="方正黑体简体" w:cs="宋体"/>
          <w:bCs/>
          <w:kern w:val="0"/>
          <w:sz w:val="32"/>
          <w:szCs w:val="32"/>
        </w:rPr>
        <w:t>附</w:t>
      </w:r>
    </w:p>
    <w:p>
      <w:pPr>
        <w:widowControl/>
        <w:spacing w:after="312" w:afterLines="100" w:line="560" w:lineRule="exact"/>
        <w:ind w:right="187"/>
        <w:jc w:val="center"/>
        <w:rPr>
          <w:rFonts w:hint="eastAsia" w:ascii="inherit" w:hAnsi="inherit" w:cs="宋体"/>
          <w:kern w:val="0"/>
          <w:sz w:val="44"/>
          <w:szCs w:val="44"/>
        </w:rPr>
      </w:pPr>
      <w:r>
        <w:rPr>
          <w:rFonts w:hint="eastAsia" w:ascii="方正小标宋简体" w:hAnsi="Arial" w:eastAsia="方正小标宋简体" w:cs="Arial"/>
          <w:kern w:val="0"/>
          <w:sz w:val="44"/>
          <w:szCs w:val="44"/>
        </w:rPr>
        <w:t>中方关注的检疫性有害生物</w:t>
      </w:r>
      <w:r>
        <w:rPr>
          <w:rFonts w:ascii="inherit" w:hAnsi="inherit" w:cs="宋体"/>
          <w:kern w:val="0"/>
          <w:sz w:val="44"/>
          <w:szCs w:val="44"/>
        </w:rPr>
        <w:t> </w:t>
      </w:r>
    </w:p>
    <w:tbl>
      <w:tblPr>
        <w:tblStyle w:val="3"/>
        <w:tblW w:w="91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9"/>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5019" w:type="dxa"/>
            <w:tcBorders>
              <w:top w:val="single" w:color="auto" w:sz="4" w:space="0"/>
              <w:left w:val="single" w:color="auto" w:sz="4" w:space="0"/>
              <w:bottom w:val="single" w:color="auto" w:sz="4" w:space="0"/>
              <w:right w:val="single" w:color="auto" w:sz="4" w:space="0"/>
            </w:tcBorders>
            <w:vAlign w:val="center"/>
          </w:tcPr>
          <w:p>
            <w:pPr>
              <w:ind w:firstLine="442"/>
              <w:jc w:val="center"/>
              <w:rPr>
                <w:rFonts w:hint="eastAsia" w:ascii="方正黑体简体" w:eastAsia="方正黑体简体"/>
                <w:sz w:val="32"/>
                <w:szCs w:val="32"/>
              </w:rPr>
            </w:pPr>
            <w:r>
              <w:rPr>
                <w:rFonts w:hint="eastAsia" w:ascii="方正黑体简体" w:hAnsi="仿宋" w:eastAsia="方正黑体简体"/>
                <w:sz w:val="32"/>
                <w:szCs w:val="32"/>
              </w:rPr>
              <w:t>拉丁文名称</w:t>
            </w:r>
          </w:p>
        </w:tc>
        <w:tc>
          <w:tcPr>
            <w:tcW w:w="41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黑体简体" w:eastAsia="方正黑体简体"/>
                <w:sz w:val="32"/>
                <w:szCs w:val="32"/>
              </w:rPr>
            </w:pPr>
            <w:r>
              <w:rPr>
                <w:rFonts w:hint="eastAsia" w:ascii="方正黑体简体" w:hAnsi="仿宋" w:eastAsia="方正黑体简体"/>
                <w:sz w:val="32"/>
                <w:szCs w:val="32"/>
              </w:rPr>
              <w:t>中文名称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exact"/>
          <w:jc w:val="center"/>
        </w:trPr>
        <w:tc>
          <w:tcPr>
            <w:tcW w:w="50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i/>
                <w:color w:val="000000"/>
                <w:sz w:val="28"/>
                <w:szCs w:val="28"/>
              </w:rPr>
            </w:pPr>
            <w:r>
              <w:rPr>
                <w:rFonts w:hint="eastAsia"/>
                <w:i/>
                <w:color w:val="000000"/>
                <w:sz w:val="28"/>
                <w:szCs w:val="28"/>
              </w:rPr>
              <w:t>Peronosporafarinosaf.sp</w:t>
            </w:r>
          </w:p>
          <w:p>
            <w:pPr>
              <w:spacing w:line="400" w:lineRule="exact"/>
              <w:jc w:val="center"/>
              <w:rPr>
                <w:rFonts w:eastAsia="仿宋"/>
                <w:i/>
                <w:sz w:val="28"/>
                <w:szCs w:val="28"/>
              </w:rPr>
            </w:pPr>
            <w:r>
              <w:rPr>
                <w:i/>
                <w:iCs/>
                <w:color w:val="000000"/>
                <w:sz w:val="28"/>
                <w:szCs w:val="28"/>
              </w:rPr>
              <w:t>betae</w:t>
            </w:r>
          </w:p>
        </w:tc>
        <w:tc>
          <w:tcPr>
            <w:tcW w:w="414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sz w:val="28"/>
                <w:szCs w:val="28"/>
              </w:rPr>
            </w:pPr>
            <w:r>
              <w:rPr>
                <w:rFonts w:hint="eastAsia" w:ascii="方正仿宋简体" w:eastAsia="方正仿宋简体"/>
                <w:color w:val="000000"/>
                <w:sz w:val="28"/>
                <w:szCs w:val="28"/>
              </w:rPr>
              <w:t>甜菜霜霉病菌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5019" w:type="dxa"/>
            <w:tcBorders>
              <w:top w:val="single" w:color="auto" w:sz="4" w:space="0"/>
              <w:left w:val="single" w:color="auto" w:sz="4" w:space="0"/>
              <w:bottom w:val="single" w:color="auto" w:sz="4" w:space="0"/>
              <w:right w:val="single" w:color="auto" w:sz="4" w:space="0"/>
            </w:tcBorders>
            <w:vAlign w:val="center"/>
          </w:tcPr>
          <w:p>
            <w:pPr>
              <w:jc w:val="center"/>
              <w:rPr>
                <w:rFonts w:eastAsia="仿宋"/>
                <w:i/>
                <w:sz w:val="28"/>
                <w:szCs w:val="28"/>
              </w:rPr>
            </w:pPr>
            <w:r>
              <w:rPr>
                <w:rFonts w:hint="eastAsia"/>
                <w:i/>
                <w:color w:val="000000"/>
                <w:sz w:val="28"/>
                <w:szCs w:val="28"/>
              </w:rPr>
              <w:t>Ramularia beticola</w:t>
            </w:r>
          </w:p>
        </w:tc>
        <w:tc>
          <w:tcPr>
            <w:tcW w:w="41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ind w:right="187"/>
              <w:jc w:val="center"/>
              <w:rPr>
                <w:rFonts w:ascii="方正仿宋简体" w:eastAsia="方正仿宋简体"/>
                <w:sz w:val="28"/>
                <w:szCs w:val="28"/>
              </w:rPr>
            </w:pPr>
            <w:r>
              <w:rPr>
                <w:rFonts w:hint="eastAsia" w:ascii="方正仿宋简体" w:eastAsia="方正仿宋简体"/>
                <w:color w:val="000000"/>
                <w:sz w:val="28"/>
                <w:szCs w:val="28"/>
              </w:rPr>
              <w:t>甜菜叶斑病菌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5019" w:type="dxa"/>
            <w:tcBorders>
              <w:top w:val="single" w:color="auto" w:sz="4" w:space="0"/>
              <w:left w:val="single" w:color="auto" w:sz="4" w:space="0"/>
              <w:bottom w:val="single" w:color="auto" w:sz="4" w:space="0"/>
              <w:right w:val="single" w:color="auto" w:sz="4" w:space="0"/>
            </w:tcBorders>
            <w:vAlign w:val="center"/>
          </w:tcPr>
          <w:p>
            <w:pPr>
              <w:jc w:val="center"/>
              <w:rPr>
                <w:rFonts w:eastAsia="仿宋"/>
                <w:bCs/>
                <w:i/>
                <w:sz w:val="28"/>
                <w:szCs w:val="28"/>
              </w:rPr>
            </w:pPr>
            <w:r>
              <w:rPr>
                <w:rFonts w:hint="eastAsia"/>
                <w:i/>
                <w:color w:val="000000"/>
                <w:sz w:val="28"/>
                <w:szCs w:val="28"/>
              </w:rPr>
              <w:t>Heteroderaschachtii</w:t>
            </w:r>
          </w:p>
        </w:tc>
        <w:tc>
          <w:tcPr>
            <w:tcW w:w="41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ind w:right="187"/>
              <w:jc w:val="center"/>
              <w:rPr>
                <w:rFonts w:ascii="方正仿宋简体" w:eastAsia="方正仿宋简体"/>
                <w:sz w:val="28"/>
                <w:szCs w:val="28"/>
              </w:rPr>
            </w:pPr>
            <w:r>
              <w:rPr>
                <w:rFonts w:hint="eastAsia" w:ascii="方正仿宋简体" w:eastAsia="方正仿宋简体"/>
                <w:color w:val="000000"/>
                <w:sz w:val="28"/>
                <w:szCs w:val="28"/>
              </w:rPr>
              <w:t>甜菜胞囊线虫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5019" w:type="dxa"/>
            <w:tcBorders>
              <w:top w:val="single" w:color="auto" w:sz="4" w:space="0"/>
              <w:left w:val="single" w:color="auto" w:sz="4" w:space="0"/>
              <w:bottom w:val="single" w:color="auto" w:sz="4" w:space="0"/>
              <w:right w:val="single" w:color="auto" w:sz="4" w:space="0"/>
            </w:tcBorders>
            <w:vAlign w:val="center"/>
          </w:tcPr>
          <w:p>
            <w:pPr>
              <w:jc w:val="center"/>
              <w:rPr>
                <w:rFonts w:eastAsia="仿宋"/>
                <w:bCs/>
                <w:i/>
                <w:sz w:val="28"/>
                <w:szCs w:val="28"/>
              </w:rPr>
            </w:pPr>
            <w:r>
              <w:rPr>
                <w:rFonts w:hint="eastAsia"/>
                <w:i/>
                <w:color w:val="000000"/>
                <w:sz w:val="28"/>
                <w:szCs w:val="28"/>
              </w:rPr>
              <w:t>Leptinotarsadecemlineata</w:t>
            </w:r>
          </w:p>
        </w:tc>
        <w:tc>
          <w:tcPr>
            <w:tcW w:w="41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ind w:right="187"/>
              <w:jc w:val="center"/>
              <w:rPr>
                <w:rFonts w:ascii="方正仿宋简体" w:eastAsia="方正仿宋简体"/>
                <w:sz w:val="28"/>
                <w:szCs w:val="28"/>
              </w:rPr>
            </w:pPr>
            <w:r>
              <w:rPr>
                <w:rFonts w:hint="eastAsia" w:ascii="方正仿宋简体" w:eastAsia="方正仿宋简体"/>
                <w:color w:val="000000"/>
                <w:sz w:val="28"/>
                <w:szCs w:val="28"/>
              </w:rPr>
              <w:t>马铃薯甲虫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5019" w:type="dxa"/>
            <w:tcBorders>
              <w:top w:val="single" w:color="auto" w:sz="4" w:space="0"/>
              <w:left w:val="single" w:color="auto" w:sz="4" w:space="0"/>
              <w:bottom w:val="single" w:color="auto" w:sz="4" w:space="0"/>
              <w:right w:val="single" w:color="auto" w:sz="4" w:space="0"/>
            </w:tcBorders>
            <w:vAlign w:val="center"/>
          </w:tcPr>
          <w:p>
            <w:pPr>
              <w:jc w:val="center"/>
              <w:rPr>
                <w:rFonts w:eastAsia="仿宋"/>
                <w:bCs/>
                <w:i/>
                <w:sz w:val="28"/>
                <w:szCs w:val="28"/>
              </w:rPr>
            </w:pPr>
            <w:r>
              <w:rPr>
                <w:rFonts w:hint="eastAsia"/>
                <w:i/>
                <w:color w:val="000000"/>
                <w:sz w:val="28"/>
                <w:szCs w:val="28"/>
              </w:rPr>
              <w:t>Bromusrigidus</w:t>
            </w:r>
          </w:p>
        </w:tc>
        <w:tc>
          <w:tcPr>
            <w:tcW w:w="41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ind w:right="187"/>
              <w:jc w:val="center"/>
              <w:rPr>
                <w:rFonts w:ascii="方正仿宋简体" w:eastAsia="方正仿宋简体"/>
                <w:sz w:val="28"/>
                <w:szCs w:val="28"/>
              </w:rPr>
            </w:pPr>
            <w:bookmarkStart w:id="0" w:name="OLE_LINK3"/>
            <w:bookmarkStart w:id="1" w:name="OLE_LINK4"/>
            <w:r>
              <w:rPr>
                <w:rFonts w:hint="eastAsia" w:ascii="方正仿宋简体" w:eastAsia="方正仿宋简体"/>
                <w:color w:val="000000"/>
                <w:sz w:val="28"/>
                <w:szCs w:val="28"/>
              </w:rPr>
              <w:t>硬雀麦</w:t>
            </w:r>
            <w:bookmarkEnd w:id="0"/>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5019" w:type="dxa"/>
            <w:tcBorders>
              <w:top w:val="single" w:color="auto" w:sz="4" w:space="0"/>
              <w:left w:val="single" w:color="auto" w:sz="4" w:space="0"/>
              <w:bottom w:val="single" w:color="auto" w:sz="4" w:space="0"/>
              <w:right w:val="single" w:color="auto" w:sz="4" w:space="0"/>
            </w:tcBorders>
            <w:vAlign w:val="center"/>
          </w:tcPr>
          <w:p>
            <w:pPr>
              <w:jc w:val="center"/>
              <w:rPr>
                <w:rFonts w:eastAsia="仿宋"/>
                <w:bCs/>
                <w:i/>
                <w:sz w:val="28"/>
                <w:szCs w:val="28"/>
              </w:rPr>
            </w:pPr>
            <w:r>
              <w:rPr>
                <w:rFonts w:hint="eastAsia"/>
                <w:i/>
                <w:color w:val="000000"/>
                <w:sz w:val="28"/>
                <w:szCs w:val="28"/>
              </w:rPr>
              <w:t>Centaurearepens</w:t>
            </w:r>
          </w:p>
        </w:tc>
        <w:tc>
          <w:tcPr>
            <w:tcW w:w="41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ind w:right="187"/>
              <w:jc w:val="center"/>
              <w:rPr>
                <w:rFonts w:ascii="方正仿宋简体" w:eastAsia="方正仿宋简体"/>
                <w:sz w:val="28"/>
                <w:szCs w:val="28"/>
              </w:rPr>
            </w:pPr>
            <w:r>
              <w:rPr>
                <w:rFonts w:hint="eastAsia" w:ascii="方正仿宋简体" w:eastAsia="方正仿宋简体"/>
                <w:color w:val="000000"/>
                <w:sz w:val="28"/>
                <w:szCs w:val="28"/>
              </w:rPr>
              <w:t>匍匐矢车菊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5019" w:type="dxa"/>
            <w:tcBorders>
              <w:top w:val="single" w:color="auto" w:sz="4" w:space="0"/>
              <w:left w:val="single" w:color="auto" w:sz="4" w:space="0"/>
              <w:bottom w:val="single" w:color="auto" w:sz="4" w:space="0"/>
              <w:right w:val="single" w:color="auto" w:sz="4" w:space="0"/>
            </w:tcBorders>
            <w:vAlign w:val="center"/>
          </w:tcPr>
          <w:p>
            <w:pPr>
              <w:jc w:val="center"/>
              <w:rPr>
                <w:rFonts w:eastAsia="仿宋"/>
                <w:bCs/>
                <w:i/>
                <w:sz w:val="28"/>
                <w:szCs w:val="28"/>
              </w:rPr>
            </w:pPr>
            <w:r>
              <w:rPr>
                <w:rFonts w:hint="eastAsia"/>
                <w:i/>
                <w:color w:val="000000"/>
                <w:sz w:val="28"/>
                <w:szCs w:val="28"/>
              </w:rPr>
              <w:t>Avenaludoviciana</w:t>
            </w:r>
          </w:p>
        </w:tc>
        <w:tc>
          <w:tcPr>
            <w:tcW w:w="41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ind w:right="187"/>
              <w:jc w:val="center"/>
              <w:rPr>
                <w:rFonts w:ascii="方正仿宋简体" w:eastAsia="方正仿宋简体"/>
                <w:sz w:val="28"/>
                <w:szCs w:val="28"/>
              </w:rPr>
            </w:pPr>
            <w:r>
              <w:rPr>
                <w:rFonts w:hint="eastAsia" w:ascii="方正仿宋简体" w:eastAsia="方正仿宋简体"/>
                <w:color w:val="000000"/>
                <w:sz w:val="28"/>
                <w:szCs w:val="28"/>
              </w:rPr>
              <w:t>法国野燕麦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5019" w:type="dxa"/>
            <w:tcBorders>
              <w:top w:val="single" w:color="auto" w:sz="4" w:space="0"/>
              <w:left w:val="single" w:color="auto" w:sz="4" w:space="0"/>
              <w:bottom w:val="single" w:color="auto" w:sz="4" w:space="0"/>
              <w:right w:val="single" w:color="auto" w:sz="4" w:space="0"/>
            </w:tcBorders>
            <w:vAlign w:val="center"/>
          </w:tcPr>
          <w:p>
            <w:pPr>
              <w:jc w:val="center"/>
              <w:rPr>
                <w:rFonts w:eastAsia="仿宋"/>
                <w:bCs/>
                <w:i/>
                <w:sz w:val="28"/>
                <w:szCs w:val="28"/>
              </w:rPr>
            </w:pPr>
            <w:r>
              <w:rPr>
                <w:rFonts w:hint="eastAsia"/>
                <w:i/>
                <w:color w:val="000000"/>
                <w:sz w:val="28"/>
                <w:szCs w:val="28"/>
              </w:rPr>
              <w:t>Cuscuta spp.</w:t>
            </w:r>
          </w:p>
        </w:tc>
        <w:tc>
          <w:tcPr>
            <w:tcW w:w="41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ind w:right="187"/>
              <w:jc w:val="center"/>
              <w:rPr>
                <w:rFonts w:ascii="方正仿宋简体" w:eastAsia="方正仿宋简体"/>
                <w:sz w:val="28"/>
                <w:szCs w:val="28"/>
              </w:rPr>
            </w:pPr>
            <w:r>
              <w:rPr>
                <w:rFonts w:hint="eastAsia" w:ascii="方正仿宋简体" w:eastAsia="方正仿宋简体"/>
                <w:color w:val="000000"/>
                <w:sz w:val="28"/>
                <w:szCs w:val="28"/>
              </w:rPr>
              <w:t>菟丝子属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5019" w:type="dxa"/>
            <w:tcBorders>
              <w:top w:val="single" w:color="auto" w:sz="4" w:space="0"/>
              <w:left w:val="single" w:color="auto" w:sz="4" w:space="0"/>
              <w:bottom w:val="single" w:color="auto" w:sz="4" w:space="0"/>
              <w:right w:val="single" w:color="auto" w:sz="4" w:space="0"/>
            </w:tcBorders>
            <w:vAlign w:val="center"/>
          </w:tcPr>
          <w:p>
            <w:pPr>
              <w:jc w:val="center"/>
              <w:rPr>
                <w:rFonts w:eastAsia="仿宋"/>
                <w:bCs/>
                <w:i/>
                <w:sz w:val="28"/>
                <w:szCs w:val="28"/>
              </w:rPr>
            </w:pPr>
            <w:r>
              <w:rPr>
                <w:rFonts w:hint="eastAsia"/>
                <w:i/>
                <w:color w:val="000000"/>
                <w:sz w:val="28"/>
                <w:szCs w:val="28"/>
              </w:rPr>
              <w:t>Orabanche spp.</w:t>
            </w:r>
          </w:p>
        </w:tc>
        <w:tc>
          <w:tcPr>
            <w:tcW w:w="41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ind w:right="187"/>
              <w:jc w:val="center"/>
              <w:rPr>
                <w:rFonts w:ascii="方正仿宋简体" w:eastAsia="方正仿宋简体"/>
                <w:sz w:val="28"/>
                <w:szCs w:val="28"/>
              </w:rPr>
            </w:pPr>
            <w:r>
              <w:rPr>
                <w:rFonts w:hint="eastAsia" w:ascii="方正仿宋简体" w:eastAsia="方正仿宋简体"/>
                <w:color w:val="000000"/>
                <w:sz w:val="28"/>
                <w:szCs w:val="28"/>
              </w:rPr>
              <w:t>列当属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5019" w:type="dxa"/>
            <w:tcBorders>
              <w:top w:val="single" w:color="auto" w:sz="4" w:space="0"/>
              <w:left w:val="single" w:color="auto" w:sz="4" w:space="0"/>
              <w:bottom w:val="single" w:color="auto" w:sz="4" w:space="0"/>
              <w:right w:val="single" w:color="auto" w:sz="4" w:space="0"/>
            </w:tcBorders>
            <w:vAlign w:val="center"/>
          </w:tcPr>
          <w:p>
            <w:pPr>
              <w:jc w:val="center"/>
              <w:rPr>
                <w:rFonts w:eastAsia="仿宋"/>
                <w:bCs/>
                <w:i/>
                <w:sz w:val="28"/>
                <w:szCs w:val="28"/>
              </w:rPr>
            </w:pPr>
            <w:r>
              <w:rPr>
                <w:rFonts w:hint="eastAsia"/>
                <w:i/>
                <w:color w:val="000000"/>
                <w:sz w:val="28"/>
                <w:szCs w:val="28"/>
              </w:rPr>
              <w:t>Ambrosia artemisiifolia</w:t>
            </w:r>
          </w:p>
        </w:tc>
        <w:tc>
          <w:tcPr>
            <w:tcW w:w="41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ind w:right="187"/>
              <w:jc w:val="center"/>
              <w:rPr>
                <w:rFonts w:ascii="方正仿宋简体" w:eastAsia="方正仿宋简体"/>
                <w:sz w:val="28"/>
                <w:szCs w:val="28"/>
              </w:rPr>
            </w:pPr>
            <w:r>
              <w:rPr>
                <w:rFonts w:hint="eastAsia" w:ascii="方正仿宋简体" w:eastAsia="方正仿宋简体"/>
                <w:color w:val="000000"/>
                <w:sz w:val="28"/>
                <w:szCs w:val="28"/>
              </w:rPr>
              <w:t>豚草属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5019" w:type="dxa"/>
            <w:tcBorders>
              <w:top w:val="single" w:color="auto" w:sz="4" w:space="0"/>
              <w:left w:val="single" w:color="auto" w:sz="4" w:space="0"/>
              <w:bottom w:val="single" w:color="auto" w:sz="4" w:space="0"/>
              <w:right w:val="single" w:color="auto" w:sz="4" w:space="0"/>
            </w:tcBorders>
            <w:vAlign w:val="center"/>
          </w:tcPr>
          <w:p>
            <w:pPr>
              <w:jc w:val="center"/>
              <w:rPr>
                <w:i/>
                <w:color w:val="000000"/>
                <w:sz w:val="28"/>
                <w:szCs w:val="28"/>
              </w:rPr>
            </w:pPr>
            <w:r>
              <w:rPr>
                <w:rFonts w:hint="eastAsia"/>
                <w:i/>
                <w:color w:val="000000"/>
                <w:sz w:val="28"/>
                <w:szCs w:val="28"/>
              </w:rPr>
              <w:t>Sorghum halepense</w:t>
            </w:r>
          </w:p>
        </w:tc>
        <w:tc>
          <w:tcPr>
            <w:tcW w:w="41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ind w:right="187"/>
              <w:jc w:val="center"/>
              <w:rPr>
                <w:rFonts w:ascii="方正仿宋简体" w:eastAsia="方正仿宋简体"/>
                <w:color w:val="000000"/>
                <w:sz w:val="28"/>
                <w:szCs w:val="28"/>
              </w:rPr>
            </w:pPr>
            <w:r>
              <w:rPr>
                <w:rFonts w:hint="eastAsia" w:ascii="方正仿宋简体" w:eastAsia="方正仿宋简体"/>
                <w:color w:val="000000"/>
                <w:sz w:val="28"/>
                <w:szCs w:val="28"/>
              </w:rPr>
              <w:t>假高粱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5019" w:type="dxa"/>
            <w:tcBorders>
              <w:top w:val="single" w:color="auto" w:sz="4" w:space="0"/>
              <w:left w:val="single" w:color="auto" w:sz="4" w:space="0"/>
              <w:bottom w:val="single" w:color="auto" w:sz="4" w:space="0"/>
              <w:right w:val="single" w:color="auto" w:sz="4" w:space="0"/>
            </w:tcBorders>
            <w:vAlign w:val="center"/>
          </w:tcPr>
          <w:p>
            <w:pPr>
              <w:jc w:val="center"/>
              <w:rPr>
                <w:i/>
                <w:color w:val="000000"/>
                <w:sz w:val="28"/>
                <w:szCs w:val="28"/>
              </w:rPr>
            </w:pPr>
            <w:r>
              <w:rPr>
                <w:rFonts w:hint="eastAsia"/>
                <w:i/>
                <w:color w:val="000000"/>
                <w:sz w:val="28"/>
                <w:szCs w:val="28"/>
              </w:rPr>
              <w:t>Sorghum almum</w:t>
            </w:r>
          </w:p>
        </w:tc>
        <w:tc>
          <w:tcPr>
            <w:tcW w:w="41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ind w:right="187"/>
              <w:jc w:val="center"/>
              <w:rPr>
                <w:rFonts w:ascii="方正仿宋简体" w:eastAsia="方正仿宋简体"/>
                <w:color w:val="000000"/>
                <w:sz w:val="28"/>
                <w:szCs w:val="28"/>
              </w:rPr>
            </w:pPr>
            <w:r>
              <w:rPr>
                <w:rFonts w:hint="eastAsia" w:ascii="方正仿宋简体" w:eastAsia="方正仿宋简体"/>
                <w:color w:val="000000"/>
                <w:sz w:val="28"/>
                <w:szCs w:val="28"/>
              </w:rPr>
              <w:t>黑高粱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5019" w:type="dxa"/>
            <w:tcBorders>
              <w:top w:val="single" w:color="auto" w:sz="4" w:space="0"/>
              <w:left w:val="single" w:color="auto" w:sz="4" w:space="0"/>
              <w:bottom w:val="single" w:color="auto" w:sz="4" w:space="0"/>
              <w:right w:val="single" w:color="auto" w:sz="4" w:space="0"/>
            </w:tcBorders>
            <w:vAlign w:val="center"/>
          </w:tcPr>
          <w:p>
            <w:pPr>
              <w:jc w:val="center"/>
              <w:rPr>
                <w:i/>
                <w:color w:val="000000"/>
                <w:sz w:val="28"/>
                <w:szCs w:val="28"/>
              </w:rPr>
            </w:pPr>
            <w:r>
              <w:rPr>
                <w:rFonts w:hint="eastAsia"/>
                <w:i/>
                <w:color w:val="000000"/>
                <w:sz w:val="28"/>
                <w:szCs w:val="28"/>
              </w:rPr>
              <w:t>Loliumtemulentum</w:t>
            </w:r>
          </w:p>
        </w:tc>
        <w:tc>
          <w:tcPr>
            <w:tcW w:w="41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ind w:right="187"/>
              <w:jc w:val="center"/>
              <w:rPr>
                <w:rFonts w:ascii="方正仿宋简体" w:eastAsia="方正仿宋简体"/>
                <w:color w:val="000000"/>
                <w:sz w:val="28"/>
                <w:szCs w:val="28"/>
              </w:rPr>
            </w:pPr>
            <w:r>
              <w:rPr>
                <w:rFonts w:hint="eastAsia" w:ascii="方正仿宋简体" w:eastAsia="方正仿宋简体"/>
                <w:color w:val="000000"/>
                <w:sz w:val="28"/>
                <w:szCs w:val="28"/>
              </w:rPr>
              <w:t>毒麦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5019" w:type="dxa"/>
            <w:tcBorders>
              <w:top w:val="single" w:color="auto" w:sz="4" w:space="0"/>
              <w:left w:val="single" w:color="auto" w:sz="4" w:space="0"/>
              <w:bottom w:val="single" w:color="auto" w:sz="4" w:space="0"/>
              <w:right w:val="single" w:color="auto" w:sz="4" w:space="0"/>
            </w:tcBorders>
            <w:vAlign w:val="center"/>
          </w:tcPr>
          <w:p>
            <w:pPr>
              <w:jc w:val="center"/>
              <w:rPr>
                <w:i/>
                <w:color w:val="000000"/>
                <w:sz w:val="28"/>
                <w:szCs w:val="28"/>
              </w:rPr>
            </w:pPr>
            <w:r>
              <w:rPr>
                <w:rFonts w:hint="eastAsia"/>
                <w:i/>
                <w:color w:val="000000"/>
                <w:sz w:val="28"/>
                <w:szCs w:val="28"/>
              </w:rPr>
              <w:t>Xanthium sp.</w:t>
            </w:r>
            <w:r>
              <w:rPr>
                <w:rFonts w:hint="eastAsia"/>
                <w:color w:val="000000"/>
                <w:sz w:val="28"/>
                <w:szCs w:val="28"/>
              </w:rPr>
              <w:t>（</w:t>
            </w:r>
            <w:r>
              <w:rPr>
                <w:color w:val="000000"/>
                <w:sz w:val="28"/>
                <w:szCs w:val="28"/>
              </w:rPr>
              <w:t>non-Chinese species</w:t>
            </w:r>
            <w:r>
              <w:rPr>
                <w:rFonts w:hint="eastAsia"/>
                <w:color w:val="000000"/>
                <w:sz w:val="28"/>
                <w:szCs w:val="28"/>
              </w:rPr>
              <w:t>）</w:t>
            </w:r>
          </w:p>
        </w:tc>
        <w:tc>
          <w:tcPr>
            <w:tcW w:w="41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ind w:right="187"/>
              <w:jc w:val="center"/>
              <w:rPr>
                <w:rFonts w:ascii="方正仿宋简体" w:eastAsia="方正仿宋简体"/>
                <w:color w:val="000000"/>
                <w:sz w:val="28"/>
                <w:szCs w:val="28"/>
              </w:rPr>
            </w:pPr>
            <w:r>
              <w:rPr>
                <w:rFonts w:hint="eastAsia" w:ascii="方正仿宋简体" w:eastAsia="方正仿宋简体"/>
                <w:color w:val="000000"/>
                <w:sz w:val="28"/>
                <w:szCs w:val="28"/>
              </w:rPr>
              <w:t>苍耳属（非中国种）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黑体简体">
    <w:altName w:val="微软雅黑"/>
    <w:panose1 w:val="03000509000000000000"/>
    <w:charset w:val="86"/>
    <w:family w:val="script"/>
    <w:pitch w:val="default"/>
    <w:sig w:usb0="00000000" w:usb1="00000000" w:usb2="00000010" w:usb3="00000000" w:csb0="00040000" w:csb1="00000000"/>
  </w:font>
  <w:font w:name="inherit">
    <w:altName w:val="Times New Roman"/>
    <w:panose1 w:val="00000000000000000000"/>
    <w:charset w:val="00"/>
    <w:family w:val="roman"/>
    <w:pitch w:val="default"/>
    <w:sig w:usb0="00000000" w:usb1="00000000" w:usb2="00000000"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方正楷体简体">
    <w:altName w:val="宋体"/>
    <w:panose1 w:val="03000509000000000000"/>
    <w:charset w:val="86"/>
    <w:family w:val="script"/>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方正大标宋简体">
    <w:altName w:val="微软雅黑"/>
    <w:panose1 w:val="03000509000000000000"/>
    <w:charset w:val="86"/>
    <w:family w:val="script"/>
    <w:pitch w:val="default"/>
    <w:sig w:usb0="00000000" w:usb1="00000000" w:usb2="00000010"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9D75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qgtong</dc:creator>
  <cp:lastModifiedBy>qgtong</cp:lastModifiedBy>
  <dcterms:modified xsi:type="dcterms:W3CDTF">2017-09-08T06:52:38Z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