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附件4</w:t>
      </w:r>
    </w:p>
    <w:p>
      <w:pPr>
        <w:widowControl/>
        <w:spacing w:line="594" w:lineRule="exact"/>
        <w:jc w:val="left"/>
        <w:rPr>
          <w:rFonts w:hint="eastAsia" w:ascii="黑体" w:hAnsi="黑体" w:eastAsia="黑体"/>
          <w:color w:val="000000"/>
          <w:kern w:val="0"/>
          <w:sz w:val="32"/>
          <w:szCs w:val="32"/>
        </w:rPr>
      </w:pPr>
    </w:p>
    <w:p>
      <w:pPr>
        <w:spacing w:line="560" w:lineRule="exact"/>
        <w:jc w:val="center"/>
        <w:rPr>
          <w:rFonts w:eastAsia="方正小标宋简体"/>
          <w:sz w:val="44"/>
          <w:szCs w:val="44"/>
        </w:rPr>
      </w:pPr>
      <w:r>
        <w:rPr>
          <w:rFonts w:eastAsia="方正小标宋简体"/>
          <w:sz w:val="44"/>
          <w:szCs w:val="44"/>
        </w:rPr>
        <w:t>进</w:t>
      </w:r>
      <w:r>
        <w:rPr>
          <w:rFonts w:hint="eastAsia" w:eastAsia="方正小标宋简体"/>
          <w:sz w:val="44"/>
          <w:szCs w:val="44"/>
        </w:rPr>
        <w:t>口坦桑尼亚</w:t>
      </w:r>
      <w:r>
        <w:rPr>
          <w:rFonts w:eastAsia="方正小标宋简体"/>
          <w:sz w:val="44"/>
          <w:szCs w:val="44"/>
        </w:rPr>
        <w:t>木薯干植物检验检疫要求</w:t>
      </w:r>
    </w:p>
    <w:p>
      <w:pPr>
        <w:tabs>
          <w:tab w:val="left" w:pos="1155"/>
          <w:tab w:val="left" w:pos="1470"/>
        </w:tabs>
        <w:spacing w:line="560" w:lineRule="exact"/>
        <w:rPr>
          <w:rFonts w:hint="eastAsia" w:eastAsia="方正仿宋简体"/>
          <w:sz w:val="32"/>
          <w:szCs w:val="32"/>
        </w:rPr>
      </w:pPr>
    </w:p>
    <w:p>
      <w:pPr>
        <w:tabs>
          <w:tab w:val="left" w:pos="1155"/>
          <w:tab w:val="left" w:pos="1470"/>
        </w:tabs>
        <w:spacing w:line="560" w:lineRule="exact"/>
        <w:ind w:firstLine="640" w:firstLineChars="200"/>
        <w:rPr>
          <w:rFonts w:hint="eastAsia" w:eastAsia="方正黑体简体"/>
          <w:sz w:val="32"/>
          <w:szCs w:val="32"/>
        </w:rPr>
      </w:pPr>
      <w:r>
        <w:rPr>
          <w:rFonts w:eastAsia="方正黑体简体"/>
          <w:sz w:val="32"/>
          <w:szCs w:val="32"/>
        </w:rPr>
        <w:t>一、法律法规依据</w:t>
      </w:r>
    </w:p>
    <w:p>
      <w:pPr>
        <w:tabs>
          <w:tab w:val="left" w:pos="1155"/>
          <w:tab w:val="left" w:pos="1470"/>
        </w:tabs>
        <w:spacing w:line="560" w:lineRule="exact"/>
        <w:ind w:firstLine="640" w:firstLineChars="200"/>
        <w:rPr>
          <w:rFonts w:hint="eastAsia" w:eastAsia="方正仿宋简体"/>
          <w:sz w:val="32"/>
          <w:szCs w:val="32"/>
        </w:rPr>
      </w:pPr>
      <w:r>
        <w:rPr>
          <w:rFonts w:eastAsia="方正仿宋简体"/>
          <w:sz w:val="32"/>
          <w:szCs w:val="32"/>
        </w:rPr>
        <w:t>《中华人民共和国进出境动植物检疫法》《中华人民共和国进出境动植物检疫法实施条例》</w:t>
      </w:r>
      <w:r>
        <w:rPr>
          <w:rFonts w:hint="eastAsia" w:eastAsia="方正仿宋简体"/>
          <w:sz w:val="32"/>
          <w:szCs w:val="32"/>
        </w:rPr>
        <w:t>；</w:t>
      </w:r>
    </w:p>
    <w:p>
      <w:pPr>
        <w:tabs>
          <w:tab w:val="left" w:pos="1155"/>
          <w:tab w:val="left" w:pos="1470"/>
        </w:tabs>
        <w:spacing w:line="560" w:lineRule="exact"/>
        <w:ind w:firstLine="640" w:firstLineChars="200"/>
        <w:rPr>
          <w:rFonts w:hint="eastAsia" w:eastAsia="方正仿宋简体"/>
          <w:sz w:val="32"/>
          <w:szCs w:val="32"/>
        </w:rPr>
      </w:pPr>
      <w:r>
        <w:rPr>
          <w:rFonts w:eastAsia="方正仿宋简体"/>
          <w:sz w:val="32"/>
          <w:szCs w:val="32"/>
        </w:rPr>
        <w:t>《中华人民共和国食品安全法》《中华人民共和国食品安全法实施条例》</w:t>
      </w:r>
      <w:r>
        <w:rPr>
          <w:rFonts w:hint="eastAsia" w:eastAsia="方正仿宋简体"/>
          <w:sz w:val="32"/>
          <w:szCs w:val="32"/>
        </w:rPr>
        <w:t>；</w:t>
      </w:r>
    </w:p>
    <w:p>
      <w:pPr>
        <w:tabs>
          <w:tab w:val="left" w:pos="1155"/>
          <w:tab w:val="left" w:pos="1470"/>
        </w:tabs>
        <w:spacing w:line="560" w:lineRule="exact"/>
        <w:ind w:firstLine="640" w:firstLineChars="200"/>
        <w:rPr>
          <w:rFonts w:hint="eastAsia" w:eastAsia="方正仿宋简体"/>
          <w:sz w:val="32"/>
          <w:szCs w:val="32"/>
        </w:rPr>
      </w:pPr>
      <w:r>
        <w:rPr>
          <w:rFonts w:eastAsia="方正仿宋简体"/>
          <w:sz w:val="32"/>
          <w:szCs w:val="32"/>
        </w:rPr>
        <w:t>《中华人民共和国进出口商品检验法》《中华人民共和国进出口商品检验法实施条例》</w:t>
      </w:r>
      <w:r>
        <w:rPr>
          <w:rFonts w:hint="eastAsia" w:eastAsia="方正仿宋简体"/>
          <w:sz w:val="32"/>
          <w:szCs w:val="32"/>
        </w:rPr>
        <w:t>；</w:t>
      </w:r>
    </w:p>
    <w:p>
      <w:pPr>
        <w:spacing w:line="594" w:lineRule="exact"/>
        <w:ind w:firstLine="656" w:firstLineChars="200"/>
        <w:rPr>
          <w:rFonts w:eastAsia="方正黑体简体"/>
          <w:spacing w:val="4"/>
          <w:sz w:val="32"/>
          <w:szCs w:val="32"/>
        </w:rPr>
      </w:pPr>
      <w:r>
        <w:rPr>
          <w:rFonts w:eastAsia="方正仿宋简体"/>
          <w:spacing w:val="4"/>
          <w:sz w:val="32"/>
          <w:szCs w:val="32"/>
        </w:rPr>
        <w:t>《</w:t>
      </w:r>
      <w:r>
        <w:rPr>
          <w:rFonts w:hint="eastAsia" w:eastAsia="方正仿宋简体"/>
          <w:spacing w:val="4"/>
          <w:sz w:val="32"/>
          <w:szCs w:val="32"/>
        </w:rPr>
        <w:t>中华人民共和国国家质量监督检验检疫总局和坦桑尼亚农业畜牧业渔业部关于坦桑尼亚木薯干输华植物检验检疫要求议定书</w:t>
      </w:r>
      <w:r>
        <w:rPr>
          <w:rFonts w:eastAsia="方正仿宋简体"/>
          <w:spacing w:val="4"/>
          <w:sz w:val="32"/>
          <w:szCs w:val="32"/>
        </w:rPr>
        <w:t>》。</w:t>
      </w:r>
    </w:p>
    <w:p>
      <w:pPr>
        <w:tabs>
          <w:tab w:val="left" w:pos="1155"/>
          <w:tab w:val="left" w:pos="1470"/>
        </w:tabs>
        <w:spacing w:line="560" w:lineRule="exact"/>
        <w:ind w:firstLine="640" w:firstLineChars="200"/>
        <w:rPr>
          <w:rFonts w:eastAsia="方正黑体简体"/>
          <w:sz w:val="32"/>
          <w:szCs w:val="32"/>
        </w:rPr>
      </w:pPr>
      <w:r>
        <w:rPr>
          <w:rFonts w:eastAsia="方正黑体简体"/>
          <w:sz w:val="32"/>
          <w:szCs w:val="32"/>
        </w:rPr>
        <w:t>二、允许进境的商品名称</w:t>
      </w:r>
    </w:p>
    <w:p>
      <w:pPr>
        <w:spacing w:line="560" w:lineRule="exact"/>
        <w:ind w:firstLine="640" w:firstLineChars="200"/>
        <w:rPr>
          <w:rFonts w:eastAsia="方正仿宋简体"/>
          <w:sz w:val="32"/>
          <w:szCs w:val="32"/>
        </w:rPr>
      </w:pPr>
      <w:r>
        <w:rPr>
          <w:rFonts w:eastAsia="方正仿宋简体"/>
          <w:sz w:val="32"/>
          <w:szCs w:val="32"/>
        </w:rPr>
        <w:t>木薯干（学名：</w:t>
      </w:r>
      <w:r>
        <w:rPr>
          <w:rFonts w:eastAsia="方正仿宋简体"/>
          <w:i/>
          <w:sz w:val="32"/>
          <w:szCs w:val="32"/>
        </w:rPr>
        <w:t>Manihot esculenta</w:t>
      </w:r>
      <w:r>
        <w:rPr>
          <w:rFonts w:eastAsia="方正仿宋简体"/>
          <w:sz w:val="32"/>
          <w:szCs w:val="32"/>
        </w:rPr>
        <w:t xml:space="preserve"> crantz，英文名：Tapioca），包括木薯片和木薯粒。</w:t>
      </w:r>
    </w:p>
    <w:p>
      <w:pPr>
        <w:tabs>
          <w:tab w:val="left" w:pos="1155"/>
          <w:tab w:val="left" w:pos="1470"/>
        </w:tabs>
        <w:spacing w:line="560" w:lineRule="exact"/>
        <w:ind w:firstLine="640" w:firstLineChars="200"/>
        <w:rPr>
          <w:rFonts w:eastAsia="方正黑体简体"/>
          <w:sz w:val="32"/>
          <w:szCs w:val="32"/>
        </w:rPr>
      </w:pPr>
      <w:r>
        <w:rPr>
          <w:rFonts w:eastAsia="方正黑体简体"/>
          <w:sz w:val="32"/>
          <w:szCs w:val="32"/>
        </w:rPr>
        <w:t>三、允许的产地</w:t>
      </w:r>
    </w:p>
    <w:p>
      <w:pPr>
        <w:spacing w:line="560" w:lineRule="exact"/>
        <w:ind w:firstLine="640" w:firstLineChars="200"/>
        <w:rPr>
          <w:rFonts w:eastAsia="方正仿宋简体"/>
          <w:sz w:val="32"/>
          <w:szCs w:val="32"/>
        </w:rPr>
      </w:pPr>
      <w:r>
        <w:rPr>
          <w:rFonts w:hint="eastAsia" w:eastAsia="方正仿宋简体"/>
          <w:sz w:val="32"/>
          <w:szCs w:val="32"/>
        </w:rPr>
        <w:t>坦桑尼亚</w:t>
      </w:r>
      <w:r>
        <w:rPr>
          <w:rFonts w:eastAsia="方正仿宋简体"/>
          <w:sz w:val="32"/>
          <w:szCs w:val="32"/>
        </w:rPr>
        <w:t>全境。</w:t>
      </w:r>
    </w:p>
    <w:p>
      <w:pPr>
        <w:tabs>
          <w:tab w:val="left" w:pos="1155"/>
          <w:tab w:val="left" w:pos="1470"/>
        </w:tabs>
        <w:spacing w:line="560" w:lineRule="exact"/>
        <w:ind w:firstLine="640" w:firstLineChars="200"/>
        <w:rPr>
          <w:rFonts w:eastAsia="方正黑体简体"/>
          <w:sz w:val="32"/>
          <w:szCs w:val="32"/>
        </w:rPr>
      </w:pPr>
      <w:r>
        <w:rPr>
          <w:rFonts w:eastAsia="方正黑体简体"/>
          <w:sz w:val="32"/>
          <w:szCs w:val="32"/>
        </w:rPr>
        <w:t>四、关注的检疫性有害生物名单</w:t>
      </w:r>
    </w:p>
    <w:p>
      <w:pPr>
        <w:tabs>
          <w:tab w:val="left" w:pos="5580"/>
          <w:tab w:val="left" w:pos="5940"/>
        </w:tabs>
        <w:ind w:firstLine="640" w:firstLineChars="200"/>
        <w:rPr>
          <w:rFonts w:eastAsia="方正仿宋简体"/>
          <w:sz w:val="32"/>
        </w:rPr>
      </w:pPr>
      <w:r>
        <w:rPr>
          <w:rFonts w:hint="eastAsia" w:eastAsia="方正仿宋简体"/>
          <w:iCs/>
          <w:sz w:val="32"/>
          <w:szCs w:val="21"/>
        </w:rPr>
        <w:t xml:space="preserve">1. </w:t>
      </w:r>
      <w:r>
        <w:rPr>
          <w:rFonts w:eastAsia="方正仿宋简体"/>
          <w:iCs/>
          <w:sz w:val="32"/>
          <w:szCs w:val="21"/>
        </w:rPr>
        <w:t>大谷蠹</w:t>
      </w:r>
      <w:r>
        <w:rPr>
          <w:rFonts w:eastAsia="方正仿宋简体"/>
          <w:i/>
          <w:sz w:val="32"/>
          <w:szCs w:val="21"/>
        </w:rPr>
        <w:t>Prostephanus truncatus</w:t>
      </w:r>
      <w:r>
        <w:rPr>
          <w:rFonts w:eastAsia="方正仿宋简体"/>
          <w:iCs/>
          <w:sz w:val="32"/>
          <w:szCs w:val="21"/>
        </w:rPr>
        <w:t xml:space="preserve"> (Horn)</w:t>
      </w:r>
    </w:p>
    <w:p>
      <w:pPr>
        <w:tabs>
          <w:tab w:val="left" w:pos="5580"/>
          <w:tab w:val="left" w:pos="5940"/>
        </w:tabs>
        <w:ind w:firstLine="640" w:firstLineChars="200"/>
        <w:rPr>
          <w:rFonts w:eastAsia="方正仿宋简体"/>
          <w:sz w:val="32"/>
          <w:szCs w:val="21"/>
        </w:rPr>
      </w:pPr>
      <w:r>
        <w:rPr>
          <w:rFonts w:hint="eastAsia" w:eastAsia="方正仿宋简体"/>
          <w:sz w:val="32"/>
          <w:szCs w:val="21"/>
        </w:rPr>
        <w:t xml:space="preserve">2. </w:t>
      </w:r>
      <w:r>
        <w:rPr>
          <w:rFonts w:eastAsia="方正仿宋简体"/>
          <w:sz w:val="32"/>
          <w:szCs w:val="21"/>
        </w:rPr>
        <w:t>谷斑皮蠹</w:t>
      </w:r>
      <w:r>
        <w:rPr>
          <w:rFonts w:eastAsia="方正仿宋简体"/>
          <w:i/>
          <w:sz w:val="32"/>
          <w:szCs w:val="21"/>
        </w:rPr>
        <w:t>Trogoderma granarium Everts</w:t>
      </w:r>
    </w:p>
    <w:p>
      <w:pPr>
        <w:tabs>
          <w:tab w:val="left" w:pos="5580"/>
          <w:tab w:val="left" w:pos="5940"/>
        </w:tabs>
        <w:ind w:firstLine="640" w:firstLineChars="200"/>
        <w:rPr>
          <w:rFonts w:eastAsia="方正仿宋简体"/>
          <w:sz w:val="32"/>
        </w:rPr>
      </w:pPr>
      <w:r>
        <w:rPr>
          <w:rFonts w:hint="eastAsia" w:eastAsia="方正仿宋简体"/>
          <w:iCs/>
          <w:sz w:val="32"/>
          <w:szCs w:val="21"/>
        </w:rPr>
        <w:t xml:space="preserve">3. </w:t>
      </w:r>
      <w:r>
        <w:rPr>
          <w:rFonts w:eastAsia="方正仿宋简体"/>
          <w:iCs/>
          <w:sz w:val="32"/>
          <w:szCs w:val="21"/>
        </w:rPr>
        <w:t>木薯绵粉蚧</w:t>
      </w:r>
      <w:r>
        <w:rPr>
          <w:rFonts w:eastAsia="方正仿宋简体"/>
          <w:i/>
          <w:sz w:val="32"/>
          <w:szCs w:val="21"/>
        </w:rPr>
        <w:t>Phenacoccus manihoti</w:t>
      </w:r>
      <w:r>
        <w:rPr>
          <w:rFonts w:eastAsia="方正仿宋简体"/>
          <w:iCs/>
          <w:sz w:val="32"/>
          <w:szCs w:val="21"/>
        </w:rPr>
        <w:t xml:space="preserve"> </w:t>
      </w:r>
      <w:r>
        <w:rPr>
          <w:rFonts w:eastAsia="方正仿宋简体"/>
          <w:sz w:val="32"/>
          <w:szCs w:val="21"/>
        </w:rPr>
        <w:t>(Matije ferrero)</w:t>
      </w:r>
    </w:p>
    <w:p>
      <w:pPr>
        <w:tabs>
          <w:tab w:val="left" w:pos="5580"/>
          <w:tab w:val="left" w:pos="5940"/>
        </w:tabs>
        <w:ind w:firstLine="640" w:firstLineChars="200"/>
        <w:rPr>
          <w:rFonts w:eastAsia="方正仿宋简体"/>
          <w:sz w:val="32"/>
        </w:rPr>
      </w:pPr>
      <w:r>
        <w:rPr>
          <w:rFonts w:hint="eastAsia" w:eastAsia="方正仿宋简体"/>
          <w:iCs/>
          <w:sz w:val="32"/>
          <w:szCs w:val="21"/>
        </w:rPr>
        <w:t xml:space="preserve">4. </w:t>
      </w:r>
      <w:r>
        <w:rPr>
          <w:rFonts w:eastAsia="方正仿宋简体"/>
          <w:iCs/>
          <w:sz w:val="32"/>
          <w:szCs w:val="21"/>
        </w:rPr>
        <w:t>黑双棘长蠹</w:t>
      </w:r>
      <w:r>
        <w:rPr>
          <w:rFonts w:eastAsia="方正仿宋简体"/>
          <w:iCs/>
          <w:sz w:val="32"/>
          <w:szCs w:val="21"/>
        </w:rPr>
        <w:fldChar w:fldCharType="begin"/>
      </w:r>
      <w:r>
        <w:rPr>
          <w:rFonts w:eastAsia="方正仿宋简体"/>
          <w:iCs/>
          <w:sz w:val="32"/>
          <w:szCs w:val="21"/>
        </w:rPr>
        <w:instrText xml:space="preserve">HYPERLINK "http://10.239.7.117/sites/pestpra/query/Pages/PestPra_PestView.aspx?psnamesci=Sinoxylon%20conigerum" \t "_blank"</w:instrText>
      </w:r>
      <w:r>
        <w:rPr>
          <w:rFonts w:eastAsia="方正仿宋简体"/>
          <w:iCs/>
          <w:sz w:val="32"/>
          <w:szCs w:val="21"/>
        </w:rPr>
        <w:fldChar w:fldCharType="separate"/>
      </w:r>
      <w:r>
        <w:rPr>
          <w:rFonts w:eastAsia="方正仿宋简体"/>
          <w:i/>
          <w:sz w:val="32"/>
          <w:szCs w:val="21"/>
        </w:rPr>
        <w:t>Sinoxylon conigerum</w:t>
      </w:r>
      <w:r>
        <w:rPr>
          <w:rFonts w:eastAsia="方正仿宋简体"/>
          <w:iCs/>
          <w:sz w:val="32"/>
          <w:szCs w:val="21"/>
        </w:rPr>
        <w:t xml:space="preserve"> </w:t>
      </w:r>
      <w:r>
        <w:rPr>
          <w:rFonts w:eastAsia="方正仿宋简体"/>
          <w:i/>
          <w:sz w:val="32"/>
          <w:szCs w:val="21"/>
        </w:rPr>
        <w:t>Gerstaecker</w:t>
      </w:r>
      <w:r>
        <w:rPr>
          <w:rFonts w:eastAsia="方正仿宋简体"/>
          <w:iCs/>
          <w:sz w:val="32"/>
          <w:szCs w:val="21"/>
        </w:rPr>
        <w:fldChar w:fldCharType="end"/>
      </w:r>
    </w:p>
    <w:p>
      <w:pPr>
        <w:tabs>
          <w:tab w:val="left" w:pos="5580"/>
          <w:tab w:val="left" w:pos="5940"/>
        </w:tabs>
        <w:ind w:firstLine="640" w:firstLineChars="200"/>
        <w:rPr>
          <w:rFonts w:eastAsia="方正仿宋简体"/>
          <w:sz w:val="32"/>
        </w:rPr>
      </w:pPr>
      <w:r>
        <w:rPr>
          <w:rFonts w:hint="eastAsia" w:eastAsia="方正仿宋简体"/>
          <w:iCs/>
          <w:sz w:val="32"/>
          <w:szCs w:val="21"/>
        </w:rPr>
        <w:t xml:space="preserve">5. </w:t>
      </w:r>
      <w:r>
        <w:rPr>
          <w:rFonts w:eastAsia="方正仿宋简体"/>
          <w:iCs/>
          <w:sz w:val="32"/>
          <w:szCs w:val="21"/>
        </w:rPr>
        <w:t>非洲大蜗牛</w:t>
      </w:r>
      <w:r>
        <w:rPr>
          <w:rFonts w:eastAsia="方正仿宋简体"/>
          <w:i/>
          <w:sz w:val="32"/>
          <w:szCs w:val="21"/>
        </w:rPr>
        <w:t>Achatina Fulica</w:t>
      </w:r>
    </w:p>
    <w:p>
      <w:pPr>
        <w:tabs>
          <w:tab w:val="left" w:pos="5580"/>
          <w:tab w:val="left" w:pos="5940"/>
        </w:tabs>
        <w:ind w:firstLine="640" w:firstLineChars="200"/>
        <w:rPr>
          <w:rFonts w:eastAsia="方正仿宋简体"/>
          <w:sz w:val="32"/>
          <w:szCs w:val="21"/>
        </w:rPr>
      </w:pPr>
      <w:r>
        <w:rPr>
          <w:rFonts w:hint="eastAsia" w:eastAsia="方正仿宋简体"/>
          <w:iCs/>
          <w:sz w:val="32"/>
          <w:szCs w:val="21"/>
        </w:rPr>
        <w:t xml:space="preserve">6. </w:t>
      </w:r>
      <w:r>
        <w:rPr>
          <w:rFonts w:eastAsia="方正仿宋简体"/>
          <w:iCs/>
          <w:sz w:val="32"/>
          <w:szCs w:val="21"/>
        </w:rPr>
        <w:t>根结线虫</w:t>
      </w:r>
      <w:r>
        <w:rPr>
          <w:rFonts w:eastAsia="方正仿宋简体"/>
          <w:i/>
          <w:sz w:val="32"/>
          <w:szCs w:val="21"/>
        </w:rPr>
        <w:t>Meloidogyne spp</w:t>
      </w:r>
    </w:p>
    <w:p>
      <w:pPr>
        <w:tabs>
          <w:tab w:val="left" w:pos="5580"/>
          <w:tab w:val="left" w:pos="5940"/>
        </w:tabs>
        <w:ind w:firstLine="640" w:firstLineChars="200"/>
        <w:rPr>
          <w:rFonts w:eastAsia="方正仿宋简体"/>
          <w:sz w:val="32"/>
        </w:rPr>
      </w:pPr>
      <w:r>
        <w:rPr>
          <w:rFonts w:hint="eastAsia" w:eastAsia="方正仿宋简体"/>
          <w:iCs/>
          <w:sz w:val="32"/>
          <w:szCs w:val="21"/>
        </w:rPr>
        <w:t xml:space="preserve">7. </w:t>
      </w:r>
      <w:r>
        <w:rPr>
          <w:rFonts w:eastAsia="方正仿宋简体"/>
          <w:iCs/>
          <w:sz w:val="32"/>
          <w:szCs w:val="21"/>
        </w:rPr>
        <w:t>宽叶酢浆草</w:t>
      </w:r>
      <w:r>
        <w:rPr>
          <w:rFonts w:eastAsia="方正仿宋简体"/>
          <w:i/>
          <w:sz w:val="32"/>
          <w:szCs w:val="21"/>
        </w:rPr>
        <w:t>Oxalis latifolia Kunth</w:t>
      </w:r>
    </w:p>
    <w:p>
      <w:pPr>
        <w:tabs>
          <w:tab w:val="left" w:pos="5580"/>
          <w:tab w:val="left" w:pos="5940"/>
        </w:tabs>
        <w:ind w:firstLine="640" w:firstLineChars="200"/>
        <w:rPr>
          <w:rFonts w:eastAsia="方正仿宋简体"/>
          <w:iCs/>
          <w:sz w:val="32"/>
          <w:szCs w:val="21"/>
        </w:rPr>
      </w:pPr>
      <w:r>
        <w:rPr>
          <w:rFonts w:hint="eastAsia" w:eastAsia="方正仿宋简体"/>
          <w:iCs/>
          <w:sz w:val="32"/>
          <w:szCs w:val="21"/>
        </w:rPr>
        <w:t xml:space="preserve">8. </w:t>
      </w:r>
      <w:r>
        <w:rPr>
          <w:rFonts w:eastAsia="方正仿宋简体"/>
          <w:iCs/>
          <w:sz w:val="32"/>
          <w:szCs w:val="21"/>
        </w:rPr>
        <w:t xml:space="preserve">非洲木薯花叶病毒 </w:t>
      </w:r>
      <w:r>
        <w:rPr>
          <w:rFonts w:eastAsia="方正仿宋简体"/>
          <w:i/>
          <w:sz w:val="32"/>
          <w:szCs w:val="21"/>
        </w:rPr>
        <w:t>African cassava mosaic virus</w:t>
      </w:r>
      <w:r>
        <w:rPr>
          <w:rFonts w:hint="eastAsia" w:eastAsia="方正仿宋简体"/>
          <w:i/>
          <w:sz w:val="32"/>
          <w:szCs w:val="21"/>
        </w:rPr>
        <w:t xml:space="preserve"> </w:t>
      </w:r>
      <w:r>
        <w:rPr>
          <w:rFonts w:eastAsia="方正仿宋简体"/>
          <w:iCs/>
          <w:sz w:val="32"/>
          <w:szCs w:val="21"/>
        </w:rPr>
        <w:t>(ACMV)</w:t>
      </w:r>
    </w:p>
    <w:p>
      <w:pPr>
        <w:tabs>
          <w:tab w:val="left" w:pos="5580"/>
          <w:tab w:val="left" w:pos="5940"/>
        </w:tabs>
        <w:ind w:firstLine="640" w:firstLineChars="200"/>
        <w:rPr>
          <w:rFonts w:eastAsia="方正仿宋简体"/>
          <w:kern w:val="0"/>
          <w:sz w:val="32"/>
        </w:rPr>
      </w:pPr>
      <w:r>
        <w:rPr>
          <w:rFonts w:hint="eastAsia" w:eastAsia="方正仿宋简体"/>
          <w:iCs/>
          <w:sz w:val="32"/>
          <w:szCs w:val="21"/>
        </w:rPr>
        <w:t xml:space="preserve">9. </w:t>
      </w:r>
      <w:r>
        <w:rPr>
          <w:rFonts w:eastAsia="方正仿宋简体"/>
          <w:iCs/>
          <w:sz w:val="32"/>
          <w:szCs w:val="21"/>
        </w:rPr>
        <w:t>木薯细菌性萎蔫病菌</w:t>
      </w:r>
      <w:r>
        <w:rPr>
          <w:rFonts w:eastAsia="方正仿宋简体"/>
          <w:iCs/>
          <w:sz w:val="32"/>
          <w:szCs w:val="21"/>
        </w:rPr>
        <w:fldChar w:fldCharType="begin"/>
      </w:r>
      <w:r>
        <w:rPr>
          <w:rFonts w:eastAsia="方正仿宋简体"/>
          <w:iCs/>
          <w:sz w:val="32"/>
          <w:szCs w:val="21"/>
        </w:rPr>
        <w:instrText xml:space="preserve"> HYPERLINK "http://admin.tbt-sps.gov.cn/sites/pestpra/query/Pages/PestPra_pestView.aspx?psnamesci=Xanthomonas%20axonopodis%20pv.%20manihotis" \t "_blank" </w:instrText>
      </w:r>
      <w:r>
        <w:rPr>
          <w:rFonts w:eastAsia="方正仿宋简体"/>
          <w:iCs/>
          <w:sz w:val="32"/>
          <w:szCs w:val="21"/>
        </w:rPr>
        <w:fldChar w:fldCharType="separate"/>
      </w:r>
      <w:r>
        <w:rPr>
          <w:rFonts w:eastAsia="方正仿宋简体"/>
          <w:i/>
          <w:sz w:val="32"/>
          <w:szCs w:val="21"/>
        </w:rPr>
        <w:t>Xanthomonas axonopodis pv. manihotis</w:t>
      </w:r>
      <w:r>
        <w:rPr>
          <w:rFonts w:eastAsia="方正仿宋简体"/>
          <w:iCs/>
          <w:sz w:val="32"/>
          <w:szCs w:val="21"/>
        </w:rPr>
        <w:t xml:space="preserve"> (Bondar) Vauterin et al. </w:t>
      </w:r>
      <w:r>
        <w:rPr>
          <w:rFonts w:eastAsia="方正仿宋简体"/>
          <w:iCs/>
          <w:sz w:val="32"/>
          <w:szCs w:val="21"/>
        </w:rPr>
        <w:fldChar w:fldCharType="end"/>
      </w:r>
    </w:p>
    <w:p>
      <w:pPr>
        <w:widowControl/>
        <w:ind w:firstLine="640" w:firstLineChars="200"/>
        <w:jc w:val="left"/>
        <w:rPr>
          <w:rFonts w:eastAsia="方正仿宋简体"/>
          <w:sz w:val="32"/>
          <w:szCs w:val="32"/>
          <w:lang w:val="pt-BR"/>
        </w:rPr>
      </w:pPr>
      <w:r>
        <w:rPr>
          <w:rFonts w:hint="eastAsia" w:eastAsia="方正仿宋简体"/>
          <w:iCs/>
          <w:sz w:val="32"/>
          <w:szCs w:val="21"/>
        </w:rPr>
        <w:t xml:space="preserve">10. </w:t>
      </w:r>
      <w:r>
        <w:rPr>
          <w:rFonts w:eastAsia="方正仿宋简体"/>
          <w:iCs/>
          <w:sz w:val="32"/>
          <w:szCs w:val="21"/>
        </w:rPr>
        <w:t>木薯褐条病毒</w:t>
      </w:r>
      <w:r>
        <w:rPr>
          <w:rFonts w:eastAsia="方正仿宋简体"/>
          <w:i/>
          <w:sz w:val="32"/>
          <w:szCs w:val="21"/>
        </w:rPr>
        <w:t>Cassava Brown Streak Virus</w:t>
      </w:r>
      <w:r>
        <w:rPr>
          <w:rFonts w:eastAsia="方正仿宋简体"/>
          <w:iCs/>
          <w:sz w:val="32"/>
          <w:szCs w:val="21"/>
        </w:rPr>
        <w:t xml:space="preserve"> (CBSV)</w:t>
      </w:r>
    </w:p>
    <w:p>
      <w:pPr>
        <w:tabs>
          <w:tab w:val="left" w:pos="1155"/>
          <w:tab w:val="left" w:pos="1470"/>
        </w:tabs>
        <w:spacing w:line="560" w:lineRule="exact"/>
        <w:ind w:firstLine="640" w:firstLineChars="200"/>
        <w:rPr>
          <w:rFonts w:eastAsia="方正黑体简体"/>
          <w:sz w:val="32"/>
          <w:szCs w:val="32"/>
          <w:lang w:val="pt-BR"/>
        </w:rPr>
      </w:pPr>
      <w:r>
        <w:rPr>
          <w:rFonts w:eastAsia="方正黑体简体"/>
          <w:sz w:val="32"/>
          <w:szCs w:val="32"/>
        </w:rPr>
        <w:t>五、装运前要求</w:t>
      </w:r>
    </w:p>
    <w:p>
      <w:pPr>
        <w:spacing w:line="560" w:lineRule="exact"/>
        <w:ind w:firstLine="643" w:firstLineChars="200"/>
        <w:rPr>
          <w:rFonts w:eastAsia="方正楷体简体"/>
          <w:b/>
          <w:sz w:val="32"/>
          <w:szCs w:val="32"/>
          <w:lang w:val="pt-BR"/>
        </w:rPr>
      </w:pPr>
      <w:r>
        <w:rPr>
          <w:rFonts w:eastAsia="方正楷体简体"/>
          <w:b/>
          <w:sz w:val="32"/>
          <w:szCs w:val="32"/>
          <w:lang w:val="pt-BR"/>
        </w:rPr>
        <w:t>（</w:t>
      </w:r>
      <w:r>
        <w:rPr>
          <w:rFonts w:eastAsia="方正楷体简体"/>
          <w:b/>
          <w:sz w:val="32"/>
          <w:szCs w:val="32"/>
        </w:rPr>
        <w:t>一</w:t>
      </w:r>
      <w:r>
        <w:rPr>
          <w:rFonts w:eastAsia="方正楷体简体"/>
          <w:b/>
          <w:sz w:val="32"/>
          <w:szCs w:val="32"/>
          <w:lang w:val="pt-BR"/>
        </w:rPr>
        <w:t>）</w:t>
      </w:r>
      <w:r>
        <w:rPr>
          <w:rFonts w:eastAsia="方正楷体简体"/>
          <w:b/>
          <w:sz w:val="32"/>
          <w:szCs w:val="32"/>
        </w:rPr>
        <w:t>产地管理</w:t>
      </w:r>
      <w:r>
        <w:rPr>
          <w:rFonts w:hint="eastAsia" w:eastAsia="方正楷体简体"/>
          <w:b/>
          <w:sz w:val="32"/>
          <w:szCs w:val="32"/>
        </w:rPr>
        <w:t>。</w:t>
      </w:r>
    </w:p>
    <w:p>
      <w:pPr>
        <w:spacing w:line="594" w:lineRule="exact"/>
        <w:ind w:firstLine="640" w:firstLineChars="200"/>
        <w:rPr>
          <w:rFonts w:eastAsia="方正仿宋简体"/>
          <w:sz w:val="32"/>
          <w:szCs w:val="32"/>
        </w:rPr>
      </w:pPr>
      <w:r>
        <w:rPr>
          <w:rFonts w:eastAsia="方正仿宋简体"/>
          <w:sz w:val="32"/>
          <w:szCs w:val="32"/>
        </w:rPr>
        <w:t>坦桑尼亚应在木薯产区针对中方关注的检疫性有害生物采取有效的田间有害生物防控措施，加强有害生物调查、监测，降低有害生物发生程度。</w:t>
      </w:r>
    </w:p>
    <w:p>
      <w:pPr>
        <w:snapToGrid w:val="0"/>
        <w:spacing w:line="560" w:lineRule="exact"/>
        <w:ind w:firstLine="640" w:firstLineChars="200"/>
        <w:rPr>
          <w:rFonts w:hint="eastAsia" w:eastAsia="方正仿宋简体"/>
          <w:sz w:val="32"/>
          <w:szCs w:val="32"/>
        </w:rPr>
      </w:pPr>
      <w:r>
        <w:rPr>
          <w:rFonts w:eastAsia="方正仿宋简体"/>
          <w:sz w:val="32"/>
          <w:szCs w:val="32"/>
        </w:rPr>
        <w:t>在木薯收获出口季节前，坦方应向中方提交本年度疫情调查、监测报告及田间防治措施等情况。必要时，坦方应在木薯产区对农药残留、重金属污染物等进行监测，并将监测情况提供给中方。</w:t>
      </w:r>
    </w:p>
    <w:p>
      <w:pPr>
        <w:spacing w:line="560" w:lineRule="exact"/>
        <w:ind w:firstLine="643" w:firstLineChars="200"/>
        <w:rPr>
          <w:rFonts w:eastAsia="方正楷体简体"/>
          <w:b/>
          <w:sz w:val="32"/>
          <w:szCs w:val="32"/>
        </w:rPr>
      </w:pPr>
      <w:r>
        <w:rPr>
          <w:rFonts w:eastAsia="方正楷体简体"/>
          <w:b/>
          <w:sz w:val="32"/>
          <w:szCs w:val="32"/>
        </w:rPr>
        <w:t>（二）注册登记要求</w:t>
      </w:r>
      <w:r>
        <w:rPr>
          <w:rFonts w:hint="eastAsia" w:eastAsia="方正楷体简体"/>
          <w:b/>
          <w:sz w:val="32"/>
          <w:szCs w:val="32"/>
        </w:rPr>
        <w:t>。</w:t>
      </w:r>
    </w:p>
    <w:p>
      <w:pPr>
        <w:spacing w:line="594" w:lineRule="exact"/>
        <w:ind w:firstLine="640" w:firstLineChars="200"/>
        <w:rPr>
          <w:rFonts w:eastAsia="方正仿宋简体"/>
          <w:sz w:val="32"/>
          <w:szCs w:val="32"/>
        </w:rPr>
      </w:pPr>
      <w:r>
        <w:rPr>
          <w:rFonts w:eastAsia="方正仿宋简体"/>
          <w:sz w:val="32"/>
          <w:szCs w:val="32"/>
        </w:rPr>
        <w:t>坦方应对输华木薯干的生产、加工和仓储企业实施注册登记，确保符合相关防疫条件，并实施消毒清杂等措施。坦方应提前将注册企业名单提交中方。</w:t>
      </w:r>
    </w:p>
    <w:p>
      <w:pPr>
        <w:spacing w:line="594" w:lineRule="exact"/>
        <w:ind w:firstLine="640" w:firstLineChars="200"/>
        <w:rPr>
          <w:rFonts w:eastAsia="方正仿宋简体"/>
          <w:sz w:val="32"/>
          <w:szCs w:val="32"/>
        </w:rPr>
      </w:pPr>
      <w:r>
        <w:rPr>
          <w:rFonts w:eastAsia="方正仿宋简体"/>
          <w:sz w:val="32"/>
          <w:szCs w:val="32"/>
        </w:rPr>
        <w:t>坦方在输华木薯干收获和加工过程中，应采取去污水洗等措施，防止中方关注的有害生物、土壤、植物病残体、杂草种子等混入。</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）包装及</w:t>
      </w:r>
      <w:r>
        <w:rPr>
          <w:rFonts w:hint="eastAsia" w:eastAsia="方正楷体简体"/>
          <w:b/>
          <w:sz w:val="32"/>
          <w:szCs w:val="32"/>
        </w:rPr>
        <w:t>储</w:t>
      </w:r>
      <w:r>
        <w:rPr>
          <w:rFonts w:eastAsia="方正楷体简体"/>
          <w:b/>
          <w:sz w:val="32"/>
          <w:szCs w:val="32"/>
        </w:rPr>
        <w:t>运要求</w:t>
      </w:r>
      <w:r>
        <w:rPr>
          <w:rFonts w:hint="eastAsia" w:eastAsia="方正楷体简体"/>
          <w:b/>
          <w:sz w:val="32"/>
          <w:szCs w:val="32"/>
        </w:rPr>
        <w:t>。</w:t>
      </w:r>
    </w:p>
    <w:p>
      <w:pPr>
        <w:spacing w:line="594" w:lineRule="exact"/>
        <w:ind w:firstLine="640" w:firstLineChars="200"/>
        <w:rPr>
          <w:rFonts w:eastAsia="方正仿宋简体"/>
          <w:sz w:val="32"/>
          <w:szCs w:val="32"/>
        </w:rPr>
      </w:pPr>
      <w:r>
        <w:rPr>
          <w:rFonts w:eastAsia="方正仿宋简体"/>
          <w:sz w:val="32"/>
          <w:szCs w:val="32"/>
        </w:rPr>
        <w:t>输华木薯干应尽可能采用包装运输，包装材料应使用符合中国植物检疫要求、干净卫生、新的材料包装。</w:t>
      </w:r>
    </w:p>
    <w:p>
      <w:pPr>
        <w:spacing w:line="594" w:lineRule="exact"/>
        <w:ind w:firstLine="640" w:firstLineChars="200"/>
        <w:rPr>
          <w:rFonts w:eastAsia="方正仿宋简体"/>
          <w:sz w:val="32"/>
          <w:szCs w:val="32"/>
        </w:rPr>
      </w:pPr>
      <w:r>
        <w:rPr>
          <w:rFonts w:eastAsia="方正仿宋简体"/>
          <w:sz w:val="32"/>
          <w:szCs w:val="32"/>
        </w:rPr>
        <w:t>输华木薯干应采用密闭运输，运输工具应符合安全卫生要求。陆路运输工具途经第三国时，应保持货物密闭，不得卸离或更换运输工具。</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）检疫处理要求</w:t>
      </w:r>
      <w:r>
        <w:rPr>
          <w:rFonts w:hint="eastAsia" w:eastAsia="方正楷体简体"/>
          <w:b/>
          <w:sz w:val="32"/>
          <w:szCs w:val="32"/>
        </w:rPr>
        <w:t>。</w:t>
      </w:r>
    </w:p>
    <w:p>
      <w:pPr>
        <w:spacing w:line="594" w:lineRule="exact"/>
        <w:ind w:firstLine="640" w:firstLineChars="200"/>
        <w:rPr>
          <w:rFonts w:eastAsia="方正仿宋简体"/>
          <w:sz w:val="32"/>
          <w:szCs w:val="32"/>
        </w:rPr>
      </w:pPr>
      <w:r>
        <w:rPr>
          <w:rFonts w:eastAsia="方正仿宋简体"/>
          <w:sz w:val="32"/>
          <w:szCs w:val="32"/>
        </w:rPr>
        <w:t>出口前，如发现活虫，须在坦方农业畜牧业渔业部植物健康服务部门（以下简称PHS）监督下对输华木薯干实施磷化铝或溴甲烷熏蒸处理，具体技术指示如下：</w:t>
      </w:r>
    </w:p>
    <w:p>
      <w:pPr>
        <w:spacing w:line="594" w:lineRule="exact"/>
        <w:ind w:firstLine="640" w:firstLineChars="200"/>
        <w:rPr>
          <w:rFonts w:eastAsia="方正仿宋简体"/>
          <w:sz w:val="32"/>
          <w:szCs w:val="32"/>
        </w:rPr>
      </w:pPr>
      <w:r>
        <w:rPr>
          <w:rFonts w:eastAsia="方正仿宋简体"/>
          <w:sz w:val="32"/>
          <w:szCs w:val="32"/>
        </w:rPr>
        <w:t>磷化铝  3.8g/m</w:t>
      </w:r>
      <w:r>
        <w:rPr>
          <w:rFonts w:eastAsia="方正仿宋简体"/>
          <w:sz w:val="32"/>
          <w:szCs w:val="32"/>
          <w:vertAlign w:val="superscript"/>
        </w:rPr>
        <w:t xml:space="preserve">3 </w:t>
      </w:r>
      <w:r>
        <w:rPr>
          <w:rFonts w:eastAsia="方正仿宋简体"/>
          <w:sz w:val="32"/>
          <w:szCs w:val="32"/>
        </w:rPr>
        <w:t xml:space="preserve"> 72h  ≥21</w:t>
      </w:r>
      <w:r>
        <w:rPr>
          <w:rFonts w:ascii="Cambria Math" w:hAnsi="Cambria Math" w:eastAsia="方正仿宋简体" w:cs="Cambria Math"/>
          <w:sz w:val="32"/>
          <w:szCs w:val="32"/>
        </w:rPr>
        <w:t>℃</w:t>
      </w:r>
    </w:p>
    <w:p>
      <w:pPr>
        <w:spacing w:line="560" w:lineRule="exact"/>
        <w:ind w:firstLine="640" w:firstLineChars="200"/>
        <w:rPr>
          <w:rFonts w:eastAsia="方正仿宋简体"/>
          <w:sz w:val="32"/>
          <w:szCs w:val="32"/>
        </w:rPr>
      </w:pPr>
      <w:r>
        <w:rPr>
          <w:rFonts w:eastAsia="方正仿宋简体"/>
          <w:sz w:val="32"/>
          <w:szCs w:val="32"/>
        </w:rPr>
        <w:t>溴甲烷  48g/ m</w:t>
      </w:r>
      <w:r>
        <w:rPr>
          <w:rFonts w:eastAsia="方正仿宋简体"/>
          <w:sz w:val="32"/>
          <w:szCs w:val="32"/>
          <w:vertAlign w:val="superscript"/>
        </w:rPr>
        <w:t xml:space="preserve">3 </w:t>
      </w:r>
      <w:r>
        <w:rPr>
          <w:rFonts w:eastAsia="方正仿宋简体"/>
          <w:sz w:val="32"/>
          <w:szCs w:val="32"/>
        </w:rPr>
        <w:t xml:space="preserve"> 48h  ≥21</w:t>
      </w:r>
      <w:r>
        <w:rPr>
          <w:rFonts w:ascii="Cambria Math" w:hAnsi="Cambria Math" w:eastAsia="方正仿宋简体" w:cs="Cambria Math"/>
          <w:sz w:val="32"/>
          <w:szCs w:val="32"/>
        </w:rPr>
        <w:t>℃</w:t>
      </w:r>
      <w:r>
        <w:rPr>
          <w:rFonts w:eastAsia="方正仿宋简体"/>
          <w:sz w:val="32"/>
          <w:szCs w:val="32"/>
        </w:rPr>
        <w:t>。</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五</w:t>
      </w:r>
      <w:r>
        <w:rPr>
          <w:rFonts w:eastAsia="方正楷体简体"/>
          <w:b/>
          <w:sz w:val="32"/>
          <w:szCs w:val="32"/>
        </w:rPr>
        <w:t>）出口植物检疫及证书要求</w:t>
      </w:r>
      <w:r>
        <w:rPr>
          <w:rFonts w:hint="eastAsia" w:eastAsia="方正楷体简体"/>
          <w:b/>
          <w:sz w:val="32"/>
          <w:szCs w:val="32"/>
        </w:rPr>
        <w:t>。</w:t>
      </w:r>
    </w:p>
    <w:p>
      <w:pPr>
        <w:spacing w:line="594" w:lineRule="exact"/>
        <w:ind w:firstLine="656" w:firstLineChars="200"/>
        <w:rPr>
          <w:rFonts w:eastAsia="方正仿宋简体"/>
          <w:spacing w:val="4"/>
          <w:sz w:val="32"/>
          <w:szCs w:val="32"/>
        </w:rPr>
      </w:pPr>
      <w:r>
        <w:rPr>
          <w:rFonts w:eastAsia="方正仿宋简体"/>
          <w:spacing w:val="4"/>
          <w:sz w:val="32"/>
          <w:szCs w:val="32"/>
        </w:rPr>
        <w:t>坦方应对输华木薯干实施检验检疫。符合议定书要求的，由PHS出具植物检疫证书，并在附加声明栏中注明：“该批货物符合《坦桑尼亚木薯干输华植物检验检疫要求议定书》要求，不带有中方关注的检疫性有害生物。</w:t>
      </w:r>
      <w:r>
        <w:rPr>
          <w:rFonts w:hint="eastAsia" w:eastAsia="方正仿宋简体"/>
          <w:spacing w:val="4"/>
          <w:sz w:val="32"/>
          <w:szCs w:val="32"/>
        </w:rPr>
        <w:t>（</w:t>
      </w:r>
      <w:r>
        <w:rPr>
          <w:sz w:val="32"/>
          <w:szCs w:val="32"/>
        </w:rPr>
        <w:t xml:space="preserve">The consignment is in compliance with requirements described in the Protocol on Phytosanitary Requirements for the Export of dry cassava from </w:t>
      </w:r>
      <w:r>
        <w:rPr>
          <w:rFonts w:hint="eastAsia"/>
          <w:sz w:val="32"/>
          <w:szCs w:val="32"/>
        </w:rPr>
        <w:t>the United Republic of Tanzania</w:t>
      </w:r>
      <w:r>
        <w:rPr>
          <w:sz w:val="32"/>
          <w:szCs w:val="32"/>
        </w:rPr>
        <w:t xml:space="preserve"> to China and is free of the quarantine pests of concern by China.</w:t>
      </w:r>
      <w:r>
        <w:rPr>
          <w:rFonts w:hint="eastAsia" w:eastAsia="方正仿宋简体"/>
          <w:spacing w:val="4"/>
          <w:sz w:val="32"/>
          <w:szCs w:val="32"/>
        </w:rPr>
        <w:t>）</w:t>
      </w:r>
      <w:r>
        <w:rPr>
          <w:rFonts w:eastAsia="方正仿宋简体"/>
          <w:spacing w:val="4"/>
          <w:sz w:val="32"/>
          <w:szCs w:val="32"/>
        </w:rPr>
        <w:t>”如采取了熏蒸处理，应在植物检疫证书上标明熏蒸药剂、处理时间、温度或由PHS或其认可的企业出具熏蒸处理证书。认可企业出具的熏蒸证书应经PHS认证。</w:t>
      </w:r>
    </w:p>
    <w:p>
      <w:pPr>
        <w:spacing w:line="594" w:lineRule="exact"/>
        <w:ind w:firstLine="640" w:firstLineChars="200"/>
        <w:rPr>
          <w:rFonts w:hint="eastAsia" w:eastAsia="方正仿宋简体"/>
          <w:sz w:val="32"/>
          <w:szCs w:val="32"/>
        </w:rPr>
      </w:pPr>
      <w:r>
        <w:rPr>
          <w:rFonts w:eastAsia="方正仿宋简体"/>
          <w:sz w:val="32"/>
          <w:szCs w:val="32"/>
        </w:rPr>
        <w:t>坦方应事先向中方提供有效的植物检疫证书、熏蒸处理证书样本，以便木薯干到达中国入境口岸时，中方核查证书的真实性。</w:t>
      </w:r>
    </w:p>
    <w:p>
      <w:pPr>
        <w:tabs>
          <w:tab w:val="left" w:pos="1155"/>
          <w:tab w:val="left" w:pos="1470"/>
        </w:tabs>
        <w:spacing w:line="560" w:lineRule="exact"/>
        <w:ind w:firstLine="640" w:firstLineChars="200"/>
        <w:rPr>
          <w:rFonts w:eastAsia="方正黑体简体"/>
          <w:sz w:val="32"/>
          <w:szCs w:val="32"/>
        </w:rPr>
      </w:pPr>
      <w:r>
        <w:rPr>
          <w:rFonts w:eastAsia="方正黑体简体"/>
          <w:sz w:val="32"/>
          <w:szCs w:val="32"/>
        </w:rPr>
        <w:t>六、进境要求</w:t>
      </w:r>
    </w:p>
    <w:p>
      <w:pPr>
        <w:spacing w:line="560" w:lineRule="exact"/>
        <w:ind w:firstLine="640" w:firstLineChars="200"/>
        <w:rPr>
          <w:rFonts w:hint="eastAsia" w:eastAsia="方正仿宋简体"/>
          <w:sz w:val="32"/>
          <w:szCs w:val="32"/>
        </w:rPr>
      </w:pPr>
      <w:r>
        <w:rPr>
          <w:rFonts w:hint="eastAsia" w:eastAsia="方正仿宋简体"/>
          <w:sz w:val="32"/>
          <w:szCs w:val="32"/>
        </w:rPr>
        <w:t>进境木薯干应当符合《中华人民共和国进出境动植物检疫法》及其实施条例、《中华人民共和国食品安全法》及其实施条例、《中华人民共和国进出口商品检验法》及其实施条例等法律法规、相关标准以及相关规定的要求。</w:t>
      </w:r>
    </w:p>
    <w:p>
      <w:pPr>
        <w:spacing w:line="560" w:lineRule="exact"/>
        <w:ind w:firstLine="643" w:firstLineChars="200"/>
        <w:rPr>
          <w:rFonts w:eastAsia="方正楷体简体"/>
          <w:b/>
          <w:sz w:val="32"/>
          <w:szCs w:val="32"/>
        </w:rPr>
      </w:pPr>
      <w:r>
        <w:rPr>
          <w:rFonts w:eastAsia="方正楷体简体"/>
          <w:b/>
          <w:sz w:val="32"/>
          <w:szCs w:val="32"/>
        </w:rPr>
        <w:t>（一）检疫审批</w:t>
      </w:r>
      <w:r>
        <w:rPr>
          <w:rFonts w:hint="eastAsia" w:eastAsia="方正楷体简体"/>
          <w:b/>
          <w:sz w:val="32"/>
          <w:szCs w:val="32"/>
        </w:rPr>
        <w:t>。</w:t>
      </w:r>
    </w:p>
    <w:p>
      <w:pPr>
        <w:spacing w:line="560" w:lineRule="exact"/>
        <w:ind w:firstLine="640" w:firstLineChars="200"/>
        <w:rPr>
          <w:rFonts w:eastAsia="方正仿宋简体"/>
          <w:sz w:val="32"/>
          <w:szCs w:val="32"/>
        </w:rPr>
      </w:pPr>
      <w:r>
        <w:rPr>
          <w:rFonts w:hint="eastAsia" w:ascii="方正仿宋简体" w:eastAsia="方正仿宋简体"/>
          <w:sz w:val="32"/>
          <w:szCs w:val="32"/>
        </w:rPr>
        <w:t>1.</w:t>
      </w:r>
      <w:r>
        <w:rPr>
          <w:rFonts w:eastAsia="方正仿宋简体"/>
          <w:sz w:val="32"/>
          <w:szCs w:val="32"/>
        </w:rPr>
        <w:t xml:space="preserve"> 进口前，</w:t>
      </w:r>
      <w:r>
        <w:rPr>
          <w:rFonts w:hint="eastAsia" w:eastAsia="方正仿宋简体"/>
          <w:sz w:val="32"/>
          <w:szCs w:val="32"/>
        </w:rPr>
        <w:t>木薯干</w:t>
      </w:r>
      <w:r>
        <w:rPr>
          <w:rFonts w:eastAsia="方正仿宋简体"/>
          <w:sz w:val="32"/>
          <w:szCs w:val="32"/>
        </w:rPr>
        <w:t>进口商应向质检总局申请办理《进境动植物检疫许可证》。</w:t>
      </w:r>
    </w:p>
    <w:p>
      <w:pPr>
        <w:spacing w:line="560" w:lineRule="exact"/>
        <w:ind w:firstLine="640" w:firstLineChars="200"/>
        <w:rPr>
          <w:rFonts w:hint="eastAsia" w:eastAsia="方正仿宋简体"/>
          <w:sz w:val="32"/>
          <w:szCs w:val="32"/>
        </w:rPr>
      </w:pPr>
      <w:r>
        <w:rPr>
          <w:rFonts w:hint="eastAsia" w:ascii="方正仿宋简体" w:eastAsia="方正仿宋简体"/>
          <w:sz w:val="32"/>
          <w:szCs w:val="32"/>
        </w:rPr>
        <w:t>2.</w:t>
      </w:r>
      <w:r>
        <w:rPr>
          <w:rFonts w:hint="eastAsia" w:eastAsia="方正仿宋简体"/>
          <w:sz w:val="32"/>
          <w:szCs w:val="32"/>
        </w:rPr>
        <w:t xml:space="preserve"> 木薯干进境后，应在中方指定的加工厂加工、储存。</w:t>
      </w:r>
    </w:p>
    <w:p>
      <w:pPr>
        <w:spacing w:line="560" w:lineRule="exact"/>
        <w:ind w:firstLine="643" w:firstLineChars="200"/>
        <w:rPr>
          <w:rFonts w:eastAsia="方正楷体简体"/>
          <w:b/>
          <w:sz w:val="32"/>
          <w:szCs w:val="32"/>
        </w:rPr>
      </w:pPr>
      <w:r>
        <w:rPr>
          <w:rFonts w:eastAsia="方正楷体简体"/>
          <w:b/>
          <w:sz w:val="32"/>
          <w:szCs w:val="32"/>
        </w:rPr>
        <w:t>（二）有关证书核查</w:t>
      </w:r>
      <w:r>
        <w:rPr>
          <w:rFonts w:hint="eastAsia" w:eastAsia="方正楷体简体"/>
          <w:b/>
          <w:sz w:val="32"/>
          <w:szCs w:val="32"/>
        </w:rPr>
        <w:t>。</w:t>
      </w:r>
    </w:p>
    <w:p>
      <w:pPr>
        <w:spacing w:line="560" w:lineRule="exact"/>
        <w:ind w:firstLine="632" w:firstLineChars="200"/>
        <w:rPr>
          <w:rFonts w:eastAsia="方正仿宋简体"/>
          <w:spacing w:val="-2"/>
          <w:sz w:val="32"/>
          <w:szCs w:val="32"/>
        </w:rPr>
      </w:pPr>
      <w:r>
        <w:rPr>
          <w:rFonts w:ascii="方正仿宋简体" w:eastAsia="方正仿宋简体"/>
          <w:spacing w:val="-2"/>
          <w:sz w:val="32"/>
          <w:szCs w:val="32"/>
        </w:rPr>
        <w:t>1.</w:t>
      </w:r>
      <w:r>
        <w:rPr>
          <w:rFonts w:eastAsia="方正仿宋简体"/>
          <w:spacing w:val="-2"/>
          <w:sz w:val="32"/>
          <w:szCs w:val="32"/>
        </w:rPr>
        <w:t xml:space="preserve"> 核查植物检疫证书是否符合本要求第五条第（</w:t>
      </w:r>
      <w:r>
        <w:rPr>
          <w:rFonts w:hint="eastAsia" w:eastAsia="方正仿宋简体"/>
          <w:spacing w:val="-2"/>
          <w:sz w:val="32"/>
          <w:szCs w:val="32"/>
        </w:rPr>
        <w:t>五</w:t>
      </w:r>
      <w:r>
        <w:rPr>
          <w:rFonts w:eastAsia="方正仿宋简体"/>
          <w:spacing w:val="-2"/>
          <w:sz w:val="32"/>
          <w:szCs w:val="32"/>
        </w:rPr>
        <w:t>）项的规定。</w:t>
      </w:r>
    </w:p>
    <w:p>
      <w:pPr>
        <w:spacing w:line="560" w:lineRule="exact"/>
        <w:ind w:firstLine="640" w:firstLineChars="200"/>
        <w:rPr>
          <w:rFonts w:eastAsia="方正仿宋简体"/>
          <w:sz w:val="32"/>
          <w:szCs w:val="32"/>
        </w:rPr>
      </w:pPr>
      <w:r>
        <w:rPr>
          <w:rFonts w:ascii="方正仿宋简体" w:eastAsia="方正仿宋简体"/>
          <w:sz w:val="32"/>
          <w:szCs w:val="32"/>
        </w:rPr>
        <w:t xml:space="preserve">2. </w:t>
      </w:r>
      <w:r>
        <w:rPr>
          <w:rFonts w:eastAsia="方正仿宋简体"/>
          <w:sz w:val="32"/>
          <w:szCs w:val="32"/>
        </w:rPr>
        <w:t>核查进境木薯干是否附有质检总局颁发的《进境动植物检疫许可证》。</w:t>
      </w:r>
    </w:p>
    <w:p>
      <w:pPr>
        <w:spacing w:line="560" w:lineRule="exact"/>
        <w:ind w:firstLine="643" w:firstLineChars="200"/>
        <w:rPr>
          <w:rFonts w:eastAsia="方正楷体简体"/>
          <w:b/>
          <w:sz w:val="32"/>
          <w:szCs w:val="32"/>
        </w:rPr>
      </w:pPr>
      <w:r>
        <w:rPr>
          <w:rFonts w:eastAsia="方正楷体简体"/>
          <w:b/>
          <w:sz w:val="32"/>
          <w:szCs w:val="32"/>
        </w:rPr>
        <w:t>（三）进境检验检疫及监管</w:t>
      </w:r>
      <w:r>
        <w:rPr>
          <w:rFonts w:hint="eastAsia" w:eastAsia="方正楷体简体"/>
          <w:b/>
          <w:sz w:val="32"/>
          <w:szCs w:val="32"/>
        </w:rPr>
        <w:t>。</w:t>
      </w:r>
    </w:p>
    <w:p>
      <w:pPr>
        <w:spacing w:line="560" w:lineRule="exact"/>
        <w:ind w:firstLine="640" w:firstLineChars="200"/>
        <w:rPr>
          <w:rFonts w:eastAsia="方正仿宋简体"/>
          <w:sz w:val="32"/>
          <w:szCs w:val="32"/>
        </w:rPr>
      </w:pPr>
      <w:r>
        <w:rPr>
          <w:rFonts w:ascii="方正仿宋简体" w:eastAsia="方正仿宋简体"/>
          <w:sz w:val="32"/>
          <w:szCs w:val="32"/>
        </w:rPr>
        <w:t xml:space="preserve">1. </w:t>
      </w:r>
      <w:r>
        <w:rPr>
          <w:rFonts w:eastAsia="方正仿宋简体"/>
          <w:sz w:val="32"/>
          <w:szCs w:val="32"/>
        </w:rPr>
        <w:t>根据《植物检验检疫工作手册》相关章节，对进境木薯干实施检验检疫，特别要对本要求第四条关注的有害生物实施针对性检疫。</w:t>
      </w:r>
    </w:p>
    <w:p>
      <w:pPr>
        <w:spacing w:line="560" w:lineRule="exact"/>
        <w:ind w:firstLine="640" w:firstLineChars="200"/>
        <w:rPr>
          <w:rFonts w:hint="eastAsia" w:eastAsia="方正仿宋简体"/>
          <w:sz w:val="32"/>
          <w:szCs w:val="32"/>
        </w:rPr>
      </w:pPr>
      <w:r>
        <w:rPr>
          <w:rFonts w:ascii="方正仿宋简体" w:eastAsia="方正仿宋简体"/>
          <w:sz w:val="32"/>
          <w:szCs w:val="32"/>
        </w:rPr>
        <w:t>2.</w:t>
      </w:r>
      <w:r>
        <w:rPr>
          <w:rFonts w:eastAsia="方正仿宋简体"/>
          <w:sz w:val="32"/>
          <w:szCs w:val="32"/>
        </w:rPr>
        <w:t xml:space="preserve"> </w:t>
      </w:r>
      <w:r>
        <w:rPr>
          <w:rFonts w:hint="eastAsia" w:eastAsia="方正仿宋简体"/>
          <w:sz w:val="32"/>
          <w:szCs w:val="32"/>
        </w:rPr>
        <w:t>木薯干进境后，应在中方指定的加工厂加工、储存，不得直接进入流通市场。木薯干运输、装卸、加工、储存等过程，应符合中国相关植物检疫防疫规定，检验检疫机构要做好检验检疫监管。</w:t>
      </w:r>
    </w:p>
    <w:p>
      <w:pPr>
        <w:spacing w:line="560" w:lineRule="exact"/>
        <w:ind w:firstLine="640" w:firstLineChars="200"/>
        <w:rPr>
          <w:rFonts w:hint="eastAsia" w:eastAsia="方正仿宋简体"/>
          <w:sz w:val="32"/>
          <w:szCs w:val="32"/>
        </w:rPr>
      </w:pPr>
      <w:r>
        <w:rPr>
          <w:rFonts w:hint="eastAsia" w:ascii="方正仿宋简体" w:eastAsia="方正仿宋简体"/>
          <w:sz w:val="32"/>
          <w:szCs w:val="32"/>
        </w:rPr>
        <w:t>3.</w:t>
      </w:r>
      <w:r>
        <w:rPr>
          <w:rFonts w:eastAsia="方正仿宋简体"/>
          <w:sz w:val="32"/>
          <w:szCs w:val="32"/>
        </w:rPr>
        <w:t xml:space="preserve"> 按照</w:t>
      </w:r>
      <w:r>
        <w:rPr>
          <w:rFonts w:hint="eastAsia" w:eastAsia="方正仿宋简体"/>
          <w:sz w:val="32"/>
          <w:szCs w:val="32"/>
        </w:rPr>
        <w:t>质检</w:t>
      </w:r>
      <w:r>
        <w:rPr>
          <w:rFonts w:eastAsia="方正仿宋简体"/>
          <w:sz w:val="32"/>
          <w:szCs w:val="32"/>
        </w:rPr>
        <w:t>总局有害生物监测指南，</w:t>
      </w:r>
      <w:r>
        <w:rPr>
          <w:rFonts w:hint="eastAsia" w:eastAsia="方正仿宋简体"/>
          <w:sz w:val="32"/>
          <w:szCs w:val="32"/>
        </w:rPr>
        <w:t>检验检疫机构应</w:t>
      </w:r>
      <w:r>
        <w:rPr>
          <w:rFonts w:eastAsia="方正仿宋简体"/>
          <w:sz w:val="32"/>
          <w:szCs w:val="32"/>
        </w:rPr>
        <w:t>做好进口</w:t>
      </w:r>
      <w:r>
        <w:rPr>
          <w:rFonts w:hint="eastAsia" w:eastAsia="方正仿宋简体"/>
          <w:sz w:val="32"/>
          <w:szCs w:val="32"/>
        </w:rPr>
        <w:t>坦桑尼亚</w:t>
      </w:r>
      <w:r>
        <w:rPr>
          <w:rFonts w:eastAsia="方正仿宋简体"/>
          <w:sz w:val="32"/>
          <w:szCs w:val="32"/>
        </w:rPr>
        <w:t>木薯干携带杂草等疫情的监测工作。</w:t>
      </w:r>
    </w:p>
    <w:p>
      <w:pPr>
        <w:tabs>
          <w:tab w:val="left" w:pos="1155"/>
          <w:tab w:val="left" w:pos="1470"/>
        </w:tabs>
        <w:spacing w:line="560" w:lineRule="exact"/>
        <w:ind w:firstLine="640" w:firstLineChars="200"/>
        <w:rPr>
          <w:rFonts w:eastAsia="方正黑体简体"/>
          <w:sz w:val="32"/>
          <w:szCs w:val="32"/>
        </w:rPr>
      </w:pPr>
      <w:r>
        <w:rPr>
          <w:rFonts w:eastAsia="方正黑体简体"/>
          <w:sz w:val="32"/>
          <w:szCs w:val="32"/>
        </w:rPr>
        <w:t>七、不符合要求的处理</w:t>
      </w:r>
    </w:p>
    <w:p>
      <w:pPr>
        <w:spacing w:line="560" w:lineRule="exact"/>
        <w:ind w:firstLine="640" w:firstLineChars="200"/>
        <w:rPr>
          <w:rFonts w:hint="eastAsia" w:eastAsia="方正仿宋简体"/>
          <w:sz w:val="32"/>
          <w:szCs w:val="32"/>
        </w:rPr>
      </w:pPr>
      <w:r>
        <w:rPr>
          <w:rFonts w:hint="eastAsia" w:eastAsia="方正仿宋简体"/>
          <w:sz w:val="32"/>
          <w:szCs w:val="32"/>
        </w:rPr>
        <w:t>进口木薯干经检验检疫不合格的，应当依法进行处理。</w:t>
      </w:r>
    </w:p>
    <w:p>
      <w:pPr>
        <w:spacing w:line="560" w:lineRule="exact"/>
        <w:ind w:firstLine="640" w:firstLineChars="200"/>
        <w:rPr>
          <w:rFonts w:eastAsia="方正仿宋简体"/>
          <w:sz w:val="32"/>
          <w:szCs w:val="32"/>
        </w:rPr>
      </w:pPr>
      <w:r>
        <w:rPr>
          <w:rFonts w:eastAsia="方正仿宋简体"/>
          <w:sz w:val="32"/>
          <w:szCs w:val="32"/>
        </w:rPr>
        <w:t>（一）如截获活虫或中方关注的检疫性有害生物，经有效除害处理合格后，准予入境。无有效除害处理方法的，则采取退运或销毁措施。情况严重的，将立即暂停进口坦桑尼亚木薯干，直到该问题得到解决。</w:t>
      </w:r>
    </w:p>
    <w:p>
      <w:pPr>
        <w:spacing w:line="560" w:lineRule="exact"/>
        <w:ind w:firstLine="640" w:firstLineChars="200"/>
        <w:rPr>
          <w:rFonts w:eastAsia="方正仿宋简体"/>
          <w:sz w:val="32"/>
          <w:szCs w:val="32"/>
        </w:rPr>
      </w:pPr>
      <w:r>
        <w:rPr>
          <w:rFonts w:eastAsia="方正仿宋简体"/>
          <w:sz w:val="32"/>
          <w:szCs w:val="32"/>
        </w:rPr>
        <w:t>（二）如检出</w:t>
      </w:r>
      <w:r>
        <w:rPr>
          <w:rFonts w:hint="eastAsia" w:eastAsia="方正仿宋简体"/>
          <w:sz w:val="32"/>
          <w:szCs w:val="32"/>
        </w:rPr>
        <w:t>本要求第四条</w:t>
      </w:r>
      <w:r>
        <w:rPr>
          <w:rFonts w:eastAsia="方正仿宋简体"/>
          <w:sz w:val="32"/>
          <w:szCs w:val="32"/>
        </w:rPr>
        <w:t>以外的其他检疫性有害生物，则根据《中华人民共和国进出境植物检疫法》及其实施条例的有关规定进行处理。</w:t>
      </w:r>
    </w:p>
    <w:p>
      <w:r>
        <w:rPr>
          <w:rFonts w:eastAsia="方正仿宋简体"/>
          <w:sz w:val="32"/>
          <w:szCs w:val="32"/>
        </w:rPr>
        <w:t>（三）如检出农药残留、重金属污染物等超出中国国家标准，将采取退运或销毁等处理。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楷体简体">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0E0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2017-09-08T06:54:36Z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