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widowControl/>
        <w:spacing w:line="560" w:lineRule="exact"/>
        <w:jc w:val="left"/>
        <w:rPr>
          <w:rFonts w:ascii="Times New Roman" w:eastAsia="方正黑体_GBK" w:cs="Times New Roman" w:hAnsi="Times New Roman"/>
          <w:kern w:val="0"/>
          <w:sz w:val="32"/>
          <w:szCs w:val="32"/>
        </w:rPr>
      </w:pPr>
      <w:bookmarkStart w:id="0" w:name="_GoBack"/>
      <w:bookmarkEnd w:id="0"/>
      <w:r>
        <w:rPr>
          <w:rFonts w:ascii="Times New Roman" w:eastAsia="方正黑体_GBK" w:cs="Times New Roman" w:hAnsi="Times New Roman"/>
          <w:kern w:val="0"/>
          <w:sz w:val="32"/>
          <w:szCs w:val="32"/>
        </w:rPr>
        <w:t>附件</w:t>
      </w:r>
    </w:p>
    <w:p>
      <w:pPr>
        <w:widowControl/>
        <w:spacing w:line="560" w:lineRule="exact"/>
        <w:jc w:val="left"/>
        <w:rPr>
          <w:rFonts w:ascii="Times New Roman" w:eastAsia="方正黑体_GBK" w:cs="Times New Roman" w:hAnsi="Times New Roman"/>
          <w:kern w:val="0"/>
          <w:sz w:val="32"/>
          <w:szCs w:val="32"/>
        </w:rPr>
      </w:pPr>
    </w:p>
    <w:p>
      <w:pPr>
        <w:widowControl/>
        <w:spacing w:line="560" w:lineRule="exact"/>
        <w:jc w:val="center"/>
        <w:rPr>
          <w:rFonts w:ascii="Times New Roman" w:eastAsia="方正小标宋_GBK" w:cs="Times New Roman" w:hAnsi="Times New Roman"/>
          <w:kern w:val="0"/>
          <w:sz w:val="44"/>
          <w:szCs w:val="44"/>
        </w:rPr>
      </w:pPr>
      <w:r>
        <w:rPr>
          <w:rFonts w:ascii="Times New Roman" w:eastAsia="方正小标宋_GBK" w:cs="Times New Roman" w:hAnsi="Times New Roman"/>
          <w:kern w:val="0"/>
          <w:sz w:val="44"/>
          <w:szCs w:val="44"/>
        </w:rPr>
        <w:t>进口泰国米糠粕（饼）、棕榈仁粕（饼）</w:t>
      </w:r>
    </w:p>
    <w:p>
      <w:pPr>
        <w:widowControl/>
        <w:spacing w:line="560" w:lineRule="exact"/>
        <w:jc w:val="center"/>
        <w:rPr>
          <w:rFonts w:ascii="Times New Roman" w:eastAsia="方正小标宋_GBK" w:cs="Times New Roman" w:hAnsi="Times New Roman"/>
          <w:kern w:val="0"/>
          <w:sz w:val="44"/>
          <w:szCs w:val="44"/>
        </w:rPr>
      </w:pPr>
      <w:r>
        <w:rPr>
          <w:rFonts w:ascii="Times New Roman" w:eastAsia="方正小标宋_GBK" w:cs="Times New Roman" w:hAnsi="Times New Roman"/>
          <w:kern w:val="0"/>
          <w:sz w:val="44"/>
          <w:szCs w:val="44"/>
        </w:rPr>
        <w:t>检验检疫要求</w:t>
      </w:r>
    </w:p>
    <w:p>
      <w:pPr>
        <w:widowControl/>
        <w:spacing w:line="560" w:lineRule="exact"/>
        <w:ind w:firstLineChars="200" w:firstLine="640"/>
        <w:jc w:val="left"/>
        <w:rPr>
          <w:rFonts w:ascii="Times New Roman" w:eastAsia="方正黑体_GBK" w:cs="Times New Roman" w:hAnsi="Times New Roman"/>
          <w:kern w:val="0"/>
          <w:sz w:val="32"/>
          <w:szCs w:val="32"/>
        </w:rPr>
      </w:pP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一、检验检疫依据</w:t>
      </w:r>
    </w:p>
    <w:p>
      <w:pPr>
        <w:pStyle w:val="33"/>
        <w:spacing w:line="560" w:lineRule="exact"/>
        <w:ind w:left="0" w:firstLine="614"/>
        <w:rPr>
          <w:rFonts w:eastAsia="方正仿宋_GBK"/>
          <w:sz w:val="32"/>
          <w:szCs w:val="32"/>
        </w:rPr>
      </w:pPr>
      <w:r>
        <w:rPr>
          <w:rFonts w:eastAsia="方正仿宋_GBK"/>
          <w:sz w:val="32"/>
          <w:szCs w:val="32"/>
        </w:rPr>
        <w:t>（一）《中华人民共和国进出境动植物检疫法》及其实施条例、《中华人民共和国食品安全法》及其实施条例、《中华人民共和国进出口商品检验法》及其实施条例；</w:t>
      </w:r>
    </w:p>
    <w:p>
      <w:pPr>
        <w:pStyle w:val="17"/>
        <w:spacing w:line="560" w:lineRule="exact"/>
        <w:ind w:leftChars="-1" w:left="-2" w:firstLineChars="199" w:firstLine="637"/>
        <w:rPr>
          <w:rFonts w:eastAsia="方正仿宋_GBK"/>
          <w:sz w:val="32"/>
          <w:szCs w:val="32"/>
        </w:rPr>
      </w:pPr>
      <w:r>
        <w:rPr>
          <w:rFonts w:eastAsia="方正仿宋_GBK"/>
          <w:sz w:val="32"/>
          <w:szCs w:val="32"/>
        </w:rPr>
        <w:t>（二）《农业转基因生物安全管理条例》；</w:t>
      </w:r>
    </w:p>
    <w:p>
      <w:pPr>
        <w:pStyle w:val="34"/>
        <w:spacing w:line="560" w:lineRule="exact"/>
        <w:ind w:left="0" w:firstLine="614"/>
        <w:rPr>
          <w:rFonts w:eastAsia="方正仿宋_GBK"/>
          <w:sz w:val="32"/>
          <w:szCs w:val="32"/>
        </w:rPr>
      </w:pPr>
      <w:r>
        <w:rPr>
          <w:rFonts w:eastAsia="方正仿宋_GBK"/>
          <w:sz w:val="32"/>
          <w:szCs w:val="32"/>
        </w:rPr>
        <w:t>（三）</w:t>
      </w:r>
      <w:r>
        <w:rPr>
          <w:rFonts w:eastAsia="方正仿宋_GBK"/>
          <w:sz w:val="32"/>
          <w:szCs w:val="32"/>
          <w:bdr w:val="none" w:sz="0" w:space="0" w:color="auto"/>
          <w:lang w:bidi="ar-SA"/>
        </w:rPr>
        <w:t>《</w:t>
      </w:r>
      <w:r>
        <w:rPr>
          <w:rFonts w:eastAsia="方正仿宋_GBK"/>
          <w:sz w:val="32"/>
          <w:szCs w:val="32"/>
        </w:rPr>
        <w:t>进出口饲料和饲料添加剂检验检疫监督管理办法》；</w:t>
      </w:r>
    </w:p>
    <w:p>
      <w:pPr>
        <w:snapToGrid w:val="0"/>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（四）《中华人民共和国海关总署与泰王国农业与合作社部关于泰国米糠粕（饼）、棕榈仁粕（饼）输华卫生与植物卫生要求议定书》。</w:t>
      </w: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二、允许进口商品名称</w:t>
      </w:r>
    </w:p>
    <w:p>
      <w:pPr>
        <w:pStyle w:val="22"/>
        <w:spacing w:line="560" w:lineRule="exact"/>
        <w:ind w:firstLineChars="200" w:firstLine="640"/>
        <w:rPr>
          <w:rFonts w:eastAsia="方正仿宋_GBK"/>
          <w:sz w:val="32"/>
          <w:szCs w:val="32"/>
        </w:rPr>
      </w:pPr>
      <w:r>
        <w:rPr>
          <w:rFonts w:eastAsia="方正仿宋_GBK"/>
          <w:sz w:val="32"/>
          <w:szCs w:val="32"/>
        </w:rPr>
        <w:t>米糠粕（饼）（</w:t>
      </w:r>
      <w:r>
        <w:rPr>
          <w:rFonts w:eastAsia="方正仿宋简体"/>
          <w:sz w:val="32"/>
          <w:szCs w:val="32"/>
        </w:rPr>
        <w:t>Rice Bran meal/cake</w:t>
      </w:r>
      <w:r>
        <w:rPr>
          <w:rFonts w:eastAsia="方正仿宋_GBK"/>
          <w:sz w:val="32"/>
          <w:szCs w:val="32"/>
        </w:rPr>
        <w:t>）、棕榈仁粕（饼）（</w:t>
      </w:r>
      <w:r>
        <w:rPr>
          <w:rFonts w:eastAsia="方正仿宋简体"/>
          <w:sz w:val="32"/>
          <w:szCs w:val="32"/>
        </w:rPr>
        <w:t>Plam Kernel meal/cake）</w:t>
      </w:r>
      <w:r>
        <w:rPr>
          <w:rFonts w:eastAsia="方正仿宋_GBK"/>
          <w:sz w:val="32"/>
          <w:szCs w:val="32"/>
        </w:rPr>
        <w:t>是指原产于泰国的米糠和棕榈仁，经过榨油工艺后生产的副产品。</w:t>
      </w: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三、企业批准</w:t>
      </w:r>
    </w:p>
    <w:p>
      <w:pPr>
        <w:pStyle w:val="30"/>
        <w:snapToGrid w:val="0"/>
        <w:spacing w:line="560" w:lineRule="exact"/>
        <w:ind w:left="113" w:firstLineChars="200" w:firstLine="640"/>
        <w:rPr>
          <w:rFonts w:eastAsia="方正仿宋_GBK"/>
          <w:kern w:val="0"/>
          <w:sz w:val="32"/>
          <w:szCs w:val="32"/>
        </w:rPr>
      </w:pPr>
      <w:r>
        <w:rPr>
          <w:rFonts w:eastAsia="方正仿宋_GBK"/>
          <w:sz w:val="32"/>
          <w:szCs w:val="32"/>
        </w:rPr>
        <w:t>泰王国农业与合作社部（以下简称</w:t>
      </w:r>
      <w:r>
        <w:rPr>
          <w:rFonts w:eastAsia="方正仿宋_GBK" w:hint="eastAsia"/>
          <w:sz w:val="32"/>
          <w:szCs w:val="32"/>
        </w:rPr>
        <w:t>“</w:t>
      </w:r>
      <w:r>
        <w:rPr>
          <w:rFonts w:eastAsia="方正仿宋_GBK"/>
          <w:sz w:val="32"/>
          <w:szCs w:val="32"/>
        </w:rPr>
        <w:t>MOAC</w:t>
      </w:r>
      <w:r>
        <w:rPr>
          <w:rFonts w:eastAsia="方正仿宋_GBK" w:hint="eastAsia"/>
          <w:sz w:val="32"/>
          <w:szCs w:val="32"/>
        </w:rPr>
        <w:t>”</w:t>
      </w:r>
      <w:r>
        <w:rPr>
          <w:rFonts w:eastAsia="方正仿宋_GBK"/>
          <w:sz w:val="32"/>
          <w:szCs w:val="32"/>
        </w:rPr>
        <w:t>）应确保输华米糠粕（饼）、棕榈仁粕（饼）来自其考核批准的加工企业。加工企业由MOAC向中华人民共和国海关总署（以下简称</w:t>
      </w:r>
      <w:r>
        <w:rPr>
          <w:rFonts w:eastAsia="方正仿宋_GBK" w:hint="eastAsia"/>
          <w:sz w:val="32"/>
          <w:szCs w:val="32"/>
        </w:rPr>
        <w:t>“</w:t>
      </w:r>
      <w:r>
        <w:rPr>
          <w:rFonts w:eastAsia="方正仿宋_GBK"/>
          <w:sz w:val="32"/>
          <w:szCs w:val="32"/>
        </w:rPr>
        <w:t>GACC</w:t>
      </w:r>
      <w:r>
        <w:rPr>
          <w:rFonts w:eastAsia="方正仿宋_GBK" w:hint="eastAsia"/>
          <w:sz w:val="32"/>
          <w:szCs w:val="32"/>
        </w:rPr>
        <w:t>”</w:t>
      </w:r>
      <w:r>
        <w:rPr>
          <w:rFonts w:eastAsia="方正仿宋_GBK"/>
          <w:sz w:val="32"/>
          <w:szCs w:val="32"/>
        </w:rPr>
        <w:t>）推荐，</w:t>
      </w:r>
      <w:bookmarkStart w:id="1" w:name="_Hlk18397059"/>
      <w:r>
        <w:rPr>
          <w:rFonts w:eastAsia="方正仿宋_GBK"/>
          <w:kern w:val="0"/>
          <w:sz w:val="32"/>
          <w:szCs w:val="32"/>
        </w:rPr>
        <w:t>GACC对推荐文件进行核查，必要时，将派遣专家进行实地检查。企业获得GACC批准注册登记后方可输华</w:t>
      </w:r>
      <w:bookmarkEnd w:id="1"/>
      <w:r>
        <w:rPr>
          <w:rFonts w:eastAsia="方正仿宋_GBK"/>
          <w:kern w:val="0"/>
          <w:sz w:val="32"/>
          <w:szCs w:val="32"/>
        </w:rPr>
        <w:t>。</w:t>
      </w:r>
    </w:p>
    <w:p>
      <w:pPr>
        <w:pStyle w:val="31"/>
        <w:spacing w:line="560" w:lineRule="exact"/>
        <w:ind w:firstLineChars="200" w:firstLine="640"/>
        <w:rPr>
          <w:rFonts w:eastAsia="方正仿宋_GBK"/>
          <w:sz w:val="32"/>
          <w:szCs w:val="32"/>
        </w:rPr>
      </w:pPr>
      <w:r>
        <w:rPr>
          <w:rFonts w:eastAsia="方正仿宋_GBK"/>
          <w:sz w:val="32"/>
          <w:szCs w:val="32"/>
        </w:rPr>
        <w:t>获准向中国出口米糠粕（饼）、棕榈仁粕（饼）的加工企业名单可在</w:t>
      </w:r>
      <w:r>
        <w:rPr>
          <w:rFonts w:eastAsia="方正仿宋_GBK"/>
          <w:kern w:val="0"/>
          <w:sz w:val="32"/>
          <w:szCs w:val="32"/>
        </w:rPr>
        <w:t>GACC</w:t>
      </w:r>
      <w:r>
        <w:rPr>
          <w:rFonts w:eastAsia="方正仿宋_GBK"/>
          <w:sz w:val="32"/>
          <w:szCs w:val="32"/>
        </w:rPr>
        <w:t>网站查询。</w:t>
      </w: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四、检疫性有害生物</w:t>
      </w:r>
    </w:p>
    <w:p>
      <w:pPr>
        <w:pStyle w:val="31"/>
        <w:spacing w:line="560" w:lineRule="exact"/>
        <w:ind w:firstLineChars="200" w:firstLine="640"/>
        <w:rPr>
          <w:rFonts w:eastAsia="方正仿宋_GBK"/>
          <w:sz w:val="32"/>
          <w:szCs w:val="32"/>
        </w:rPr>
      </w:pPr>
      <w:r>
        <w:rPr>
          <w:rFonts w:eastAsia="方正仿宋_GBK"/>
          <w:sz w:val="32"/>
          <w:szCs w:val="32"/>
        </w:rPr>
        <w:t>输华米糠粕（饼）不得带有中方关注的检疫性有害生物：水稻茎线虫（</w:t>
      </w:r>
      <w:r>
        <w:rPr>
          <w:rFonts w:eastAsia="方正仿宋_GBK"/>
          <w:i/>
          <w:sz w:val="32"/>
          <w:szCs w:val="32"/>
        </w:rPr>
        <w:t>Ditylenchus angustus</w:t>
      </w:r>
      <w:r>
        <w:rPr>
          <w:rFonts w:eastAsia="方正仿宋_GBK"/>
          <w:sz w:val="32"/>
          <w:szCs w:val="32"/>
        </w:rPr>
        <w:t>）。</w:t>
      </w:r>
    </w:p>
    <w:p>
      <w:pPr>
        <w:widowControl/>
        <w:spacing w:line="560" w:lineRule="exact"/>
        <w:ind w:firstLineChars="200" w:firstLine="640"/>
        <w:rPr>
          <w:rFonts w:ascii="Times New Roman" w:eastAsia="方正仿宋简体" w:cs="Times New Roman" w:hAnsi="Times New Roman"/>
          <w:color w:val="000000"/>
          <w:sz w:val="32"/>
        </w:rPr>
      </w:pPr>
      <w:r>
        <w:rPr>
          <w:rFonts w:ascii="Times New Roman" w:eastAsia="方正仿宋_GBK" w:cs="Times New Roman" w:hAnsi="Times New Roman"/>
          <w:sz w:val="32"/>
          <w:szCs w:val="32"/>
        </w:rPr>
        <w:t>输华棕榈仁粕（饼）不得带有中方关注的检疫性有害生物：薇甘菊</w:t>
      </w:r>
      <w:r>
        <w:rPr>
          <w:rFonts w:eastAsia="方正仿宋_GBK"/>
          <w:sz w:val="32"/>
          <w:szCs w:val="32"/>
        </w:rPr>
        <w:t>（</w:t>
      </w:r>
      <w:r>
        <w:rPr>
          <w:rFonts w:ascii="Times New Roman" w:eastAsia="方正仿宋_GBK" w:cs="Times New Roman" w:hAnsi="Times New Roman"/>
          <w:i/>
          <w:sz w:val="32"/>
          <w:szCs w:val="32"/>
          <w:bdr w:val="none" w:sz="0" w:space="0" w:color="auto"/>
        </w:rPr>
        <w:t>Mikania micrantha</w:t>
      </w:r>
      <w:r>
        <w:rPr>
          <w:rFonts w:eastAsia="方正仿宋_GBK"/>
          <w:sz w:val="32"/>
          <w:szCs w:val="32"/>
        </w:rPr>
        <w:t>）</w:t>
      </w:r>
      <w:r>
        <w:rPr>
          <w:rFonts w:ascii="Times New Roman" w:eastAsia="方正仿宋简体" w:cs="Times New Roman" w:hAnsi="Times New Roman"/>
          <w:color w:val="000000"/>
          <w:sz w:val="32"/>
        </w:rPr>
        <w:t>。</w:t>
      </w: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五、产品生产和出口要求</w:t>
      </w:r>
    </w:p>
    <w:p>
      <w:pPr>
        <w:widowControl/>
        <w:spacing w:line="560" w:lineRule="exact"/>
        <w:ind w:firstLineChars="200" w:firstLine="640"/>
        <w:rPr>
          <w:rFonts w:ascii="Times New Roman" w:eastAsia="方正楷体_GBK" w:cs="Times New Roman" w:hAnsi="Times New Roman"/>
          <w:kern w:val="0"/>
          <w:sz w:val="24"/>
          <w:szCs w:val="24"/>
        </w:rPr>
      </w:pPr>
      <w:r>
        <w:rPr>
          <w:rFonts w:ascii="Times New Roman" w:eastAsia="方正楷体_GBK" w:cs="Times New Roman" w:hAnsi="Times New Roman"/>
          <w:b/>
          <w:bCs/>
          <w:kern w:val="0"/>
          <w:sz w:val="32"/>
          <w:szCs w:val="32"/>
        </w:rPr>
        <w:t>（一）包装、储藏及运输。</w:t>
      </w:r>
    </w:p>
    <w:p>
      <w:pPr>
        <w:pStyle w:val="31"/>
        <w:spacing w:line="560" w:lineRule="exact"/>
        <w:ind w:firstLineChars="200" w:firstLine="640"/>
        <w:rPr>
          <w:rFonts w:eastAsia="方正仿宋_GBK"/>
          <w:color w:val="FF0000"/>
          <w:sz w:val="32"/>
          <w:szCs w:val="32"/>
        </w:rPr>
      </w:pPr>
      <w:r>
        <w:rPr>
          <w:rFonts w:eastAsia="方正仿宋_GBK"/>
          <w:sz w:val="32"/>
          <w:szCs w:val="32"/>
        </w:rPr>
        <w:t>1．输华米糠粕（饼）、棕榈仁粕（饼）可以散装或包装形式运输，在运输过程中应防止发生撒漏。用于运输的工具应彻底清扫干净，必要时须进行消毒。如使用袋装运输，包装袋应首次使用，且干净卫生，不得带有有毒有害物质。</w:t>
      </w:r>
    </w:p>
    <w:p>
      <w:pPr>
        <w:pStyle w:val="30"/>
        <w:snapToGrid w:val="0"/>
        <w:spacing w:line="560" w:lineRule="exact"/>
        <w:ind w:left="113" w:firstLineChars="177" w:firstLine="566"/>
        <w:rPr>
          <w:rFonts w:eastAsia="方正仿宋_GBK"/>
          <w:kern w:val="0"/>
          <w:sz w:val="32"/>
          <w:szCs w:val="32"/>
        </w:rPr>
      </w:pPr>
      <w:r>
        <w:rPr>
          <w:rFonts w:eastAsia="方正仿宋_GBK"/>
          <w:sz w:val="32"/>
          <w:szCs w:val="32"/>
        </w:rPr>
        <w:t>2．装载</w:t>
      </w:r>
      <w:r>
        <w:rPr>
          <w:rFonts w:eastAsia="方正仿宋_GBK"/>
          <w:kern w:val="0"/>
          <w:sz w:val="32"/>
          <w:szCs w:val="32"/>
        </w:rPr>
        <w:t>输华</w:t>
      </w:r>
      <w:r>
        <w:rPr>
          <w:rFonts w:eastAsia="方正仿宋_GBK"/>
          <w:sz w:val="32"/>
          <w:szCs w:val="32"/>
        </w:rPr>
        <w:t>米糠粕（饼）、棕榈仁粕（饼）</w:t>
      </w:r>
      <w:r>
        <w:rPr>
          <w:rFonts w:eastAsia="方正仿宋_GBK"/>
          <w:kern w:val="0"/>
          <w:sz w:val="32"/>
          <w:szCs w:val="32"/>
        </w:rPr>
        <w:t>的集装箱或者船舶的舱（如散装船运）内应至少有一个包装标识，注明加工厂名称、注册登记号码以及</w:t>
      </w:r>
      <w:r>
        <w:rPr>
          <w:rFonts w:ascii="方正仿宋_GBK" w:eastAsia="方正仿宋_GBK" w:hint="eastAsia"/>
          <w:kern w:val="0"/>
          <w:sz w:val="32"/>
          <w:szCs w:val="32"/>
        </w:rPr>
        <w:t>“</w:t>
      </w:r>
      <w:bookmarkStart w:id="2" w:name="_Hlk18399412"/>
      <w:r>
        <w:rPr>
          <w:rFonts w:eastAsia="方正仿宋_GBK"/>
          <w:kern w:val="0"/>
          <w:sz w:val="32"/>
          <w:szCs w:val="32"/>
        </w:rPr>
        <w:t>泰国</w:t>
      </w:r>
      <w:r>
        <w:rPr>
          <w:rFonts w:eastAsia="方正仿宋_GBK"/>
          <w:sz w:val="32"/>
          <w:szCs w:val="32"/>
        </w:rPr>
        <w:t>米糠粕（饼）</w:t>
      </w:r>
      <w:r>
        <w:rPr>
          <w:rFonts w:eastAsia="方正仿宋_GBK"/>
          <w:kern w:val="0"/>
          <w:sz w:val="32"/>
          <w:szCs w:val="32"/>
        </w:rPr>
        <w:t>输往中华人民共和国</w:t>
      </w:r>
      <w:r>
        <w:rPr>
          <w:rFonts w:ascii="方正仿宋_GBK" w:eastAsia="方正仿宋_GBK" w:hint="eastAsia"/>
          <w:kern w:val="0"/>
          <w:sz w:val="32"/>
          <w:szCs w:val="32"/>
        </w:rPr>
        <w:t>”或“</w:t>
      </w:r>
      <w:r>
        <w:rPr>
          <w:rFonts w:eastAsia="方正仿宋_GBK"/>
          <w:sz w:val="32"/>
          <w:szCs w:val="32"/>
        </w:rPr>
        <w:t>棕榈仁粕（饼）</w:t>
      </w:r>
      <w:r>
        <w:rPr>
          <w:rFonts w:eastAsia="方正仿宋_GBK"/>
          <w:kern w:val="0"/>
          <w:sz w:val="32"/>
          <w:szCs w:val="32"/>
        </w:rPr>
        <w:t>输往中华人民共和国</w:t>
      </w:r>
      <w:r>
        <w:rPr>
          <w:rFonts w:ascii="方正仿宋_GBK" w:eastAsia="方正仿宋_GBK" w:hint="eastAsia"/>
          <w:kern w:val="0"/>
          <w:sz w:val="32"/>
          <w:szCs w:val="32"/>
        </w:rPr>
        <w:t>”</w:t>
      </w:r>
      <w:r>
        <w:rPr>
          <w:rFonts w:eastAsia="方正仿宋_GBK"/>
          <w:kern w:val="0"/>
          <w:sz w:val="32"/>
          <w:szCs w:val="32"/>
        </w:rPr>
        <w:t>中文和英文字样。</w:t>
      </w:r>
      <w:bookmarkEnd w:id="2"/>
      <w:r>
        <w:rPr>
          <w:rFonts w:eastAsia="方正仿宋_GBK"/>
          <w:kern w:val="0"/>
          <w:sz w:val="32"/>
          <w:szCs w:val="32"/>
        </w:rPr>
        <w:t>每批输华</w:t>
      </w:r>
      <w:r>
        <w:rPr>
          <w:rFonts w:eastAsia="方正仿宋_GBK"/>
          <w:sz w:val="32"/>
          <w:szCs w:val="32"/>
        </w:rPr>
        <w:t>米糠粕（饼）、棕榈仁粕（饼）</w:t>
      </w:r>
      <w:r>
        <w:rPr>
          <w:rFonts w:eastAsia="方正仿宋_GBK"/>
          <w:kern w:val="0"/>
          <w:sz w:val="32"/>
          <w:szCs w:val="32"/>
        </w:rPr>
        <w:t>标签符合中国国家标准《饲料标签》（GB10648）的要求。</w:t>
      </w:r>
    </w:p>
    <w:p>
      <w:pPr>
        <w:widowControl/>
        <w:spacing w:line="560" w:lineRule="exact"/>
        <w:ind w:firstLineChars="200" w:firstLine="640"/>
        <w:rPr>
          <w:rFonts w:ascii="Times New Roman" w:eastAsia="方正楷体_GBK" w:cs="Times New Roman" w:hAnsi="Times New Roman"/>
          <w:b/>
          <w:bCs/>
          <w:kern w:val="0"/>
          <w:sz w:val="32"/>
          <w:szCs w:val="32"/>
        </w:rPr>
      </w:pPr>
      <w:r>
        <w:rPr>
          <w:rFonts w:ascii="Times New Roman" w:eastAsia="方正楷体_GBK" w:cs="Times New Roman" w:hAnsi="Times New Roman"/>
          <w:b/>
          <w:bCs/>
          <w:kern w:val="0"/>
          <w:sz w:val="32"/>
          <w:szCs w:val="32"/>
        </w:rPr>
        <w:t>（二）离境前检疫和证书要求。</w:t>
      </w:r>
    </w:p>
    <w:p>
      <w:pPr>
        <w:pStyle w:val="31"/>
        <w:spacing w:line="560" w:lineRule="exact"/>
        <w:ind w:firstLineChars="200" w:firstLine="640"/>
        <w:rPr>
          <w:rFonts w:eastAsia="方正仿宋_GBK"/>
          <w:kern w:val="0"/>
          <w:sz w:val="32"/>
          <w:szCs w:val="32"/>
        </w:rPr>
      </w:pPr>
      <w:r>
        <w:rPr>
          <w:rFonts w:eastAsia="方正仿宋_GBK"/>
          <w:kern w:val="0"/>
          <w:sz w:val="32"/>
          <w:szCs w:val="32"/>
        </w:rPr>
        <w:t>1．MOAC应对加工企业加强生产加工、成品、运输等环节的卫生控制，避免产品被土壤、动物尸体、动物粪便、植物或动物残留物、有毒有害物质和其他动物源性成分等物质的污染。</w:t>
      </w:r>
      <w:r>
        <w:rPr>
          <w:rFonts w:eastAsia="方正仿宋_GBK"/>
          <w:sz w:val="32"/>
          <w:szCs w:val="32"/>
        </w:rPr>
        <w:t>输华米糠粕（饼）、棕榈仁粕（饼）应独立存放于干净密封的仓库中。</w:t>
      </w:r>
    </w:p>
    <w:p>
      <w:pPr>
        <w:pStyle w:val="18"/>
        <w:adjustRightInd w:val="0"/>
        <w:snapToGrid w:val="0"/>
        <w:spacing w:line="560" w:lineRule="exact"/>
        <w:ind w:firstLineChars="200" w:firstLine="640"/>
        <w:rPr>
          <w:rFonts w:eastAsia="方正仿宋_GBK"/>
          <w:sz w:val="32"/>
          <w:szCs w:val="32"/>
        </w:rPr>
      </w:pPr>
      <w:r>
        <w:rPr>
          <w:rFonts w:eastAsia="方正仿宋_GBK"/>
          <w:kern w:val="0"/>
          <w:sz w:val="32"/>
          <w:szCs w:val="32"/>
        </w:rPr>
        <w:t>2．</w:t>
      </w:r>
      <w:r>
        <w:rPr>
          <w:rFonts w:eastAsia="方正仿宋_GBK"/>
          <w:sz w:val="32"/>
          <w:szCs w:val="32"/>
        </w:rPr>
        <w:t>每批输华米糠粕（饼）、棕榈仁粕（饼）应随附MOAC</w:t>
      </w:r>
      <w:r>
        <w:rPr>
          <w:rFonts w:eastAsia="方正仿宋_GBK"/>
          <w:kern w:val="0"/>
          <w:sz w:val="32"/>
          <w:szCs w:val="32"/>
        </w:rPr>
        <w:t>出具的符合国际植物检疫措施标准第12号要求的植物检疫证书</w:t>
      </w:r>
      <w:r>
        <w:rPr>
          <w:rFonts w:eastAsia="方正仿宋_GBK"/>
          <w:sz w:val="32"/>
          <w:szCs w:val="32"/>
        </w:rPr>
        <w:t>。</w:t>
      </w:r>
      <w:r>
        <w:rPr>
          <w:rFonts w:eastAsia="方正仿宋_GBK"/>
          <w:kern w:val="0"/>
          <w:sz w:val="32"/>
          <w:szCs w:val="32"/>
        </w:rPr>
        <w:t>植物检疫证书应注明加工企业名称和注册登记号码、集装箱或运输工具号码等信息。输出前或运输途中经除害处理的，应注明除害处理方式及处理指标等信息</w:t>
      </w:r>
      <w:r>
        <w:rPr>
          <w:rFonts w:eastAsia="方正仿宋_GBK"/>
          <w:sz w:val="32"/>
          <w:szCs w:val="32"/>
        </w:rPr>
        <w:t>。</w:t>
      </w:r>
    </w:p>
    <w:p>
      <w:pPr>
        <w:pStyle w:val="24"/>
        <w:spacing w:line="560" w:lineRule="exact"/>
        <w:ind w:firstLineChars="200" w:firstLine="640"/>
        <w:rPr>
          <w:rFonts w:eastAsia="方正仿宋_GBK"/>
          <w:sz w:val="32"/>
          <w:szCs w:val="32"/>
        </w:rPr>
      </w:pPr>
      <w:r>
        <w:rPr>
          <w:rFonts w:eastAsia="方正仿宋_GBK"/>
          <w:sz w:val="32"/>
          <w:szCs w:val="32"/>
        </w:rPr>
        <w:t>3．植物检疫证书的附加声明应注明：</w:t>
      </w:r>
      <w:r>
        <w:rPr>
          <w:rFonts w:eastAsia="方正仿宋_GBK" w:hint="eastAsia"/>
          <w:sz w:val="32"/>
          <w:szCs w:val="32"/>
        </w:rPr>
        <w:t>“</w:t>
      </w:r>
      <w:r>
        <w:rPr>
          <w:sz w:val="28"/>
          <w:szCs w:val="28"/>
        </w:rPr>
        <w:t>The consignment complies with the requirements described in the Protocol of Sanitary and Phytosanitary Requirements of Importing Thailand Rice Bran Meal/Cake and Palm Kernel Meal/Cake between the General Administration of Customs of the People´s Republic of China and the Ministry of Agriculture and Cooperatives of the Kingdom of Thailand.</w:t>
      </w:r>
      <w:bookmarkStart w:id="3" w:name="_Hlk18399794"/>
      <w:r>
        <w:rPr>
          <w:rFonts w:eastAsia="方正仿宋_GBK" w:hint="eastAsia"/>
          <w:sz w:val="32"/>
          <w:szCs w:val="32"/>
        </w:rPr>
        <w:t>”</w:t>
      </w:r>
      <w:r>
        <w:rPr>
          <w:rFonts w:eastAsia="方正仿宋_GBK"/>
          <w:sz w:val="32"/>
          <w:szCs w:val="32"/>
        </w:rPr>
        <w:t>(</w:t>
      </w:r>
      <w:r>
        <w:rPr>
          <w:rFonts w:eastAsia="方正仿宋_GBK"/>
          <w:kern w:val="0"/>
          <w:sz w:val="32"/>
          <w:szCs w:val="32"/>
        </w:rPr>
        <w:t>该批货物符合《中华人民共和国海关总署与泰王国农业与合作社部关于泰国米糠粕（饼）、棕榈仁粕（饼）输华卫生与植物卫生要求议定书》要求</w:t>
      </w:r>
      <w:bookmarkEnd w:id="3"/>
      <w:r>
        <w:rPr>
          <w:rFonts w:eastAsia="方正仿宋_GBK"/>
          <w:sz w:val="32"/>
          <w:szCs w:val="32"/>
        </w:rPr>
        <w:t>。）</w:t>
      </w:r>
    </w:p>
    <w:p>
      <w:pPr>
        <w:pStyle w:val="24"/>
        <w:spacing w:line="560" w:lineRule="exact"/>
        <w:ind w:firstLineChars="200" w:firstLine="640"/>
        <w:rPr>
          <w:rFonts w:eastAsia="方正仿宋_GBK"/>
          <w:sz w:val="32"/>
          <w:szCs w:val="32"/>
        </w:rPr>
      </w:pPr>
      <w:r>
        <w:rPr>
          <w:rFonts w:eastAsia="方正仿宋_GBK"/>
          <w:sz w:val="32"/>
          <w:szCs w:val="32"/>
        </w:rPr>
        <w:t>4</w:t>
      </w:r>
      <w:r>
        <w:rPr>
          <w:rFonts w:eastAsia="方正仿宋_GBK"/>
          <w:kern w:val="0"/>
          <w:sz w:val="32"/>
          <w:szCs w:val="32"/>
        </w:rPr>
        <w:t>．MOAC应提供植物检疫证书样本，供GACC备案核查。</w:t>
      </w:r>
    </w:p>
    <w:p>
      <w:pPr>
        <w:widowControl/>
        <w:spacing w:line="560" w:lineRule="exact"/>
        <w:ind w:firstLineChars="200" w:firstLine="640"/>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六、进境检验检疫</w:t>
      </w:r>
    </w:p>
    <w:p>
      <w:pPr>
        <w:widowControl/>
        <w:spacing w:line="560" w:lineRule="exact"/>
        <w:ind w:firstLineChars="200" w:firstLine="640"/>
        <w:rPr>
          <w:rFonts w:ascii="Times New Roman" w:eastAsia="方正楷体_GBK" w:cs="Times New Roman" w:hAnsi="Times New Roman"/>
          <w:b/>
          <w:bCs/>
          <w:kern w:val="0"/>
          <w:sz w:val="32"/>
          <w:szCs w:val="32"/>
        </w:rPr>
      </w:pPr>
      <w:r>
        <w:rPr>
          <w:rFonts w:ascii="Times New Roman" w:eastAsia="方正楷体_GBK" w:cs="Times New Roman" w:hAnsi="Times New Roman"/>
          <w:b/>
          <w:bCs/>
          <w:kern w:val="0"/>
          <w:sz w:val="32"/>
          <w:szCs w:val="32"/>
        </w:rPr>
        <w:t>（一）证书核查。</w:t>
      </w:r>
    </w:p>
    <w:p>
      <w:pPr>
        <w:widowControl/>
        <w:spacing w:line="560" w:lineRule="exact"/>
        <w:ind w:firstLineChars="200" w:firstLine="640"/>
        <w:rPr>
          <w:rFonts w:ascii="Times New Roman" w:eastAsia="方正仿宋_GBK" w:cs="Times New Roman" w:hAnsi="Times New Roman"/>
          <w:sz w:val="32"/>
          <w:szCs w:val="32"/>
        </w:rPr>
      </w:pPr>
      <w:r>
        <w:rPr>
          <w:rFonts w:ascii="Times New Roman" w:eastAsia="方正仿宋_GBK" w:cs="Times New Roman" w:hAnsi="Times New Roman"/>
          <w:sz w:val="32"/>
          <w:szCs w:val="32"/>
        </w:rPr>
        <w:t>1</w:t>
      </w:r>
      <w:r>
        <w:rPr>
          <w:rFonts w:ascii="Times New Roman" w:eastAsia="方正仿宋_GBK" w:cs="Times New Roman" w:hAnsi="Times New Roman"/>
          <w:kern w:val="0"/>
          <w:sz w:val="32"/>
          <w:szCs w:val="32"/>
        </w:rPr>
        <w:t>．</w:t>
      </w:r>
      <w:r>
        <w:rPr>
          <w:rFonts w:ascii="Times New Roman" w:eastAsia="方正仿宋_GBK" w:cs="Times New Roman" w:hAnsi="Times New Roman"/>
          <w:sz w:val="32"/>
          <w:szCs w:val="32"/>
        </w:rPr>
        <w:t>核查植物检疫证书</w:t>
      </w:r>
      <w:r>
        <w:rPr>
          <w:rFonts w:ascii="Times New Roman" w:eastAsia="方正仿宋_GBK" w:cs="Times New Roman" w:hAnsi="Times New Roman"/>
          <w:kern w:val="0"/>
          <w:sz w:val="32"/>
          <w:szCs w:val="32"/>
          <w:lang w:bidi="ar-SA"/>
        </w:rPr>
        <w:t>是否真实有效</w:t>
      </w:r>
      <w:r>
        <w:rPr>
          <w:rFonts w:ascii="Times New Roman" w:eastAsia="方正仿宋_GBK" w:cs="Times New Roman" w:hAnsi="Times New Roman"/>
          <w:sz w:val="32"/>
          <w:szCs w:val="32"/>
        </w:rPr>
        <w:t>。</w:t>
      </w:r>
    </w:p>
    <w:p>
      <w:pPr>
        <w:widowControl/>
        <w:spacing w:line="560" w:lineRule="exact"/>
        <w:ind w:firstLineChars="200" w:firstLine="640"/>
        <w:rPr>
          <w:rFonts w:ascii="Times New Roman" w:eastAsia="方正仿宋_GBK" w:cs="Times New Roman" w:hAnsi="Times New Roman"/>
          <w:kern w:val="0"/>
          <w:sz w:val="32"/>
          <w:szCs w:val="32"/>
          <w:lang w:bidi="ar-SA"/>
        </w:rPr>
      </w:pPr>
      <w:r>
        <w:rPr>
          <w:rFonts w:ascii="Times New Roman" w:eastAsia="方正仿宋_GBK" w:cs="Times New Roman" w:hAnsi="Times New Roman"/>
          <w:sz w:val="32"/>
          <w:szCs w:val="32"/>
        </w:rPr>
        <w:t>2</w:t>
      </w:r>
      <w:r>
        <w:rPr>
          <w:rFonts w:ascii="Times New Roman" w:eastAsia="方正仿宋_GBK" w:cs="Times New Roman" w:hAnsi="Times New Roman"/>
          <w:kern w:val="0"/>
          <w:sz w:val="32"/>
          <w:szCs w:val="32"/>
        </w:rPr>
        <w:t>．</w:t>
      </w:r>
      <w:r>
        <w:rPr>
          <w:rFonts w:ascii="Times New Roman" w:eastAsia="方正仿宋_GBK" w:cs="Times New Roman" w:hAnsi="Times New Roman"/>
          <w:kern w:val="0"/>
          <w:sz w:val="32"/>
          <w:szCs w:val="32"/>
          <w:lang w:bidi="ar-SA"/>
        </w:rPr>
        <w:t>核查是否来自注册登记企业。</w:t>
      </w:r>
    </w:p>
    <w:p>
      <w:pPr>
        <w:widowControl/>
        <w:spacing w:line="560" w:lineRule="exact"/>
        <w:ind w:firstLineChars="200" w:firstLine="640"/>
        <w:rPr>
          <w:rFonts w:ascii="Times New Roman" w:eastAsia="方正楷体_GBK" w:cs="Times New Roman" w:hAnsi="Times New Roman"/>
          <w:b/>
          <w:bCs/>
          <w:kern w:val="0"/>
          <w:sz w:val="32"/>
          <w:szCs w:val="32"/>
        </w:rPr>
      </w:pPr>
      <w:r>
        <w:rPr>
          <w:rFonts w:ascii="Times New Roman" w:eastAsia="方正楷体_GBK" w:cs="Times New Roman" w:hAnsi="Times New Roman"/>
          <w:b/>
          <w:bCs/>
          <w:kern w:val="0"/>
          <w:sz w:val="32"/>
          <w:szCs w:val="32"/>
        </w:rPr>
        <w:t>（二）货物检查。</w:t>
      </w:r>
    </w:p>
    <w:p>
      <w:pPr>
        <w:pStyle w:val="21"/>
        <w:spacing w:line="560" w:lineRule="exact"/>
        <w:ind w:firstLineChars="200" w:firstLine="640"/>
        <w:rPr>
          <w:rFonts w:eastAsia="方正黑体_GBK"/>
          <w:b/>
          <w:sz w:val="32"/>
          <w:szCs w:val="32"/>
        </w:rPr>
      </w:pPr>
      <w:r>
        <w:rPr>
          <w:rFonts w:eastAsia="方正仿宋_GBK"/>
          <w:kern w:val="0"/>
          <w:sz w:val="32"/>
          <w:szCs w:val="32"/>
        </w:rPr>
        <w:t>根据有关法律、行政法规、规章等规定，结合本要求第四条、第五条，对进口米糠粕（饼）、棕榈仁粕（饼）实施检验检疫。经检验检疫合格的，准予入境。</w:t>
      </w:r>
    </w:p>
    <w:p>
      <w:pPr>
        <w:widowControl/>
        <w:spacing w:line="560" w:lineRule="exact"/>
        <w:ind w:leftChars="304" w:left="638"/>
        <w:rPr>
          <w:rFonts w:ascii="Times New Roman" w:eastAsia="方正黑体_GBK" w:cs="Times New Roman" w:hAnsi="Times New Roman"/>
          <w:kern w:val="0"/>
          <w:sz w:val="32"/>
          <w:szCs w:val="32"/>
        </w:rPr>
      </w:pPr>
      <w:r>
        <w:rPr>
          <w:rFonts w:ascii="Times New Roman" w:eastAsia="方正黑体_GBK" w:cs="Times New Roman" w:hAnsi="Times New Roman"/>
          <w:kern w:val="0"/>
          <w:sz w:val="32"/>
          <w:szCs w:val="32"/>
        </w:rPr>
        <w:t>七、不符合情况处理</w:t>
      </w:r>
    </w:p>
    <w:p>
      <w:pPr>
        <w:pStyle w:val="31"/>
        <w:spacing w:line="560" w:lineRule="exact"/>
        <w:ind w:firstLineChars="200" w:firstLine="640"/>
        <w:rPr>
          <w:rFonts w:eastAsia="方正仿宋_GBK"/>
          <w:sz w:val="32"/>
          <w:szCs w:val="32"/>
        </w:rPr>
      </w:pPr>
      <w:r>
        <w:rPr>
          <w:rFonts w:eastAsia="方正仿宋_GBK"/>
          <w:sz w:val="32"/>
          <w:szCs w:val="32"/>
        </w:rPr>
        <w:t>（一）无有效的植物检疫证书，作退回或销毁处理。</w:t>
      </w:r>
    </w:p>
    <w:p>
      <w:pPr>
        <w:pStyle w:val="31"/>
        <w:spacing w:line="560" w:lineRule="exact"/>
        <w:ind w:firstLineChars="200" w:firstLine="640"/>
        <w:rPr>
          <w:rFonts w:eastAsia="方正仿宋_GBK"/>
          <w:sz w:val="32"/>
          <w:szCs w:val="32"/>
        </w:rPr>
      </w:pPr>
      <w:r>
        <w:rPr>
          <w:rFonts w:eastAsia="方正仿宋_GBK"/>
          <w:sz w:val="32"/>
          <w:szCs w:val="32"/>
        </w:rPr>
        <w:t>（二）</w:t>
      </w:r>
      <w:r>
        <w:rPr>
          <w:rFonts w:eastAsia="方正仿宋_GBK"/>
          <w:kern w:val="0"/>
          <w:sz w:val="32"/>
          <w:szCs w:val="32"/>
        </w:rPr>
        <w:t>来自未经注册登记的企业，作退回或销毁处理。</w:t>
      </w:r>
    </w:p>
    <w:p>
      <w:pPr>
        <w:pStyle w:val="31"/>
        <w:spacing w:line="560" w:lineRule="exact"/>
        <w:ind w:firstLineChars="200" w:firstLine="640"/>
        <w:rPr>
          <w:rFonts w:eastAsia="方正仿宋_GBK"/>
          <w:kern w:val="0"/>
          <w:sz w:val="32"/>
          <w:szCs w:val="32"/>
        </w:rPr>
      </w:pPr>
      <w:r>
        <w:rPr>
          <w:rFonts w:eastAsia="方正仿宋_GBK"/>
          <w:sz w:val="32"/>
          <w:szCs w:val="32"/>
          <w:bdr w:val="none" w:sz="0" w:space="0" w:color="auto"/>
        </w:rPr>
        <w:t>（三）</w:t>
      </w:r>
      <w:r>
        <w:rPr>
          <w:rFonts w:eastAsia="方正仿宋_GBK"/>
          <w:kern w:val="0"/>
          <w:sz w:val="32"/>
          <w:szCs w:val="32"/>
        </w:rPr>
        <w:t>发现活的检疫性有害生物或其他活的有害生物</w:t>
      </w:r>
      <w:r>
        <w:rPr>
          <w:rFonts w:eastAsia="方正仿宋_GBK"/>
          <w:sz w:val="32"/>
          <w:szCs w:val="32"/>
        </w:rPr>
        <w:t>，</w:t>
      </w:r>
      <w:r>
        <w:rPr>
          <w:rFonts w:eastAsia="方正仿宋_GBK"/>
          <w:kern w:val="0"/>
          <w:sz w:val="32"/>
          <w:szCs w:val="32"/>
        </w:rPr>
        <w:t>作除害、退回或销毁处理。</w:t>
      </w:r>
    </w:p>
    <w:p>
      <w:pPr>
        <w:pStyle w:val="31"/>
        <w:spacing w:line="560" w:lineRule="exact"/>
        <w:ind w:firstLineChars="200" w:firstLine="640"/>
        <w:rPr>
          <w:rFonts w:eastAsia="方正仿宋_GBK"/>
          <w:sz w:val="32"/>
          <w:szCs w:val="32"/>
        </w:rPr>
      </w:pPr>
      <w:r>
        <w:rPr>
          <w:rFonts w:eastAsia="方正仿宋_GBK"/>
          <w:sz w:val="32"/>
          <w:szCs w:val="32"/>
        </w:rPr>
        <w:t>（四）发现土壤</w:t>
      </w:r>
      <w:r>
        <w:rPr>
          <w:rFonts w:eastAsia="方正仿宋_GBK"/>
          <w:kern w:val="0"/>
          <w:sz w:val="32"/>
          <w:szCs w:val="32"/>
        </w:rPr>
        <w:t>或</w:t>
      </w:r>
      <w:r>
        <w:rPr>
          <w:rFonts w:eastAsia="方正仿宋_GBK"/>
          <w:sz w:val="32"/>
          <w:szCs w:val="32"/>
        </w:rPr>
        <w:t>未经中国官方批准的转基因成分，作退回或销毁处理。</w:t>
      </w:r>
    </w:p>
    <w:p>
      <w:pPr>
        <w:pStyle w:val="16"/>
        <w:tabs>
          <w:tab w:val="center" w:pos="4153"/>
          <w:tab w:val="right" w:pos="8306"/>
        </w:tabs>
        <w:adjustRightInd/>
        <w:snapToGrid w:val="0"/>
        <w:spacing w:line="560" w:lineRule="exact"/>
        <w:ind w:left="113" w:firstLineChars="177" w:firstLine="566"/>
        <w:contextualSpacing w:val="0"/>
        <w:jc w:val="both"/>
        <w:rPr>
          <w:rFonts w:eastAsia="方正仿宋_GBK"/>
          <w:kern w:val="0"/>
          <w:sz w:val="32"/>
          <w:szCs w:val="32"/>
        </w:rPr>
      </w:pPr>
      <w:r>
        <w:rPr>
          <w:rFonts w:eastAsia="方正仿宋_GBK"/>
          <w:sz w:val="32"/>
          <w:szCs w:val="32"/>
        </w:rPr>
        <w:t>（五）发现动物粪便、动物尸体、禽类羽毛、植物种子，或者不符合中国饲料相关安全卫生标准，</w:t>
      </w:r>
      <w:r>
        <w:rPr>
          <w:rFonts w:eastAsia="方正仿宋_GBK"/>
          <w:kern w:val="0"/>
          <w:sz w:val="32"/>
          <w:szCs w:val="32"/>
        </w:rPr>
        <w:t>按照相关法律法规作无害化处理、退回或销毁处理。</w:t>
      </w:r>
    </w:p>
    <w:p>
      <w:pPr>
        <w:pStyle w:val="45"/>
        <w:widowControl/>
        <w:spacing w:line="560" w:lineRule="exact"/>
        <w:ind w:firstLine="595"/>
        <w:rPr>
          <w:rFonts w:ascii="Times New Roman" w:eastAsia="方正仿宋_GBK" w:cs="Times New Roman" w:hAnsi="Times New Roman"/>
          <w:kern w:val="0"/>
          <w:sz w:val="32"/>
          <w:szCs w:val="32"/>
        </w:rPr>
      </w:pPr>
      <w:r>
        <w:rPr>
          <w:rFonts w:ascii="Times New Roman" w:eastAsia="方正仿宋_GBK" w:cs="Times New Roman" w:hAnsi="Times New Roman"/>
          <w:kern w:val="0"/>
          <w:sz w:val="32"/>
          <w:szCs w:val="32"/>
          <w:bdr w:val="none" w:sz="0" w:space="0" w:color="auto"/>
          <w:lang w:bidi="ar-SA"/>
        </w:rPr>
        <w:t>（六）发现不符合第五条第一款第2项的要求，作补正、退回或销毁处理。</w:t>
      </w:r>
    </w:p>
    <w:p>
      <w:pPr>
        <w:pStyle w:val="31"/>
        <w:spacing w:line="560" w:lineRule="exact"/>
        <w:ind w:firstLineChars="200" w:firstLine="640"/>
        <w:rPr>
          <w:rFonts w:eastAsia="方正仿宋_GBK"/>
          <w:sz w:val="32"/>
          <w:szCs w:val="32"/>
        </w:rPr>
      </w:pPr>
      <w:r>
        <w:rPr>
          <w:rFonts w:eastAsia="方正仿宋_GBK"/>
          <w:sz w:val="32"/>
          <w:szCs w:val="32"/>
        </w:rPr>
        <w:t>发现上述违规情况，</w:t>
      </w:r>
      <w:r>
        <w:rPr>
          <w:rFonts w:eastAsia="方正仿宋_GBK"/>
          <w:kern w:val="0"/>
          <w:sz w:val="32"/>
          <w:szCs w:val="32"/>
        </w:rPr>
        <w:t>GACC</w:t>
      </w:r>
      <w:r>
        <w:rPr>
          <w:rFonts w:eastAsia="方正仿宋_GBK"/>
          <w:sz w:val="32"/>
          <w:szCs w:val="32"/>
        </w:rPr>
        <w:t>将向MOAC通报，并根据违规情况的严重程度采取暂停相关出口企业甚至暂停泰国相关产品输华等措施。</w:t>
      </w:r>
    </w:p>
    <w:sectPr>
      <w:footerReference w:type="default" r:id="rId2"/>
      <w:footerReference w:type="even" r:id="rId3"/>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0000000000000000000"/>
    <w:charset w:val="86"/>
    <w:family w:val="script"/>
    <w:pitch w:val="variable"/>
    <w:sig w:usb0="00000000" w:usb1="080E0000" w:usb2="00000010" w:usb3="00000000" w:csb0="00040000" w:csb1="00000000"/>
  </w:font>
  <w:font w:name="方正小标宋_GBK">
    <w:altName w:val="Arial Unicode MS"/>
    <w:panose1 w:val="00000000000000000000"/>
    <w:charset w:val="86"/>
    <w:family w:val="script"/>
    <w:pitch w:val="variable"/>
    <w:sig w:usb0="00000000" w:usb1="080E0000" w:usb2="00000010" w:usb3="00000000" w:csb0="00040000" w:csb1="00000000"/>
  </w:font>
  <w:font w:name="方正仿宋_GBK">
    <w:altName w:val="Arial Unicode MS"/>
    <w:panose1 w:val="00000000000000000000"/>
    <w:charset w:val="86"/>
    <w:family w:val="script"/>
    <w:pitch w:val="variable"/>
    <w:sig w:usb0="00000000" w:usb1="080E0000" w:usb2="00000010" w:usb3="00000000" w:csb0="00040000" w:csb1="00000000"/>
  </w:font>
  <w:font w:name="方正仿宋简体">
    <w:altName w:val="黑体"/>
    <w:panose1 w:val="00000000000000000000"/>
    <w:charset w:val="86"/>
    <w:family w:val="script"/>
    <w:pitch w:val="variable"/>
    <w:sig w:usb0="00000001" w:usb1="080E0000" w:usb2="00000010" w:usb3="00000000" w:csb0="00040000" w:csb1="00000000"/>
  </w:font>
  <w:font w:name="方正楷体_GBK">
    <w:altName w:val="Arial Unicode MS"/>
    <w:panose1 w:val="00000000000000000000"/>
    <w:charset w:val="86"/>
    <w:family w:val="script"/>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tabs>
        <w:tab w:val="center" w:pos="4153"/>
        <w:tab w:val="right" w:pos="8306"/>
      </w:tabs>
    </w:pPr>
    <w:r>
      <w:rPr>
        <w:rStyle w:val="25"/>
      </w:rPr>
      <w:fldChar w:fldCharType="begin"/>
    </w:r>
    <w:r>
      <w:rPr>
        <w:rStyle w:val="25"/>
      </w:rPr>
      <w:instrText>Page</w:instrText>
    </w:r>
    <w:r>
      <w:rPr>
        <w:rStyle w:val="25"/>
      </w:rPr>
      <w:fldChar w:fldCharType="separate"/>
    </w:r>
    <w:r>
      <w:rPr>
        <w:rStyle w:val="25"/>
      </w:rPr>
      <w:t>1</w:t>
    </w:r>
    <w:r>
      <w:rPr>
        <w:rStyle w:val="25"/>
      </w:rPr>
      <w:fldChar w:fldCharType="end"/>
    </w:r>
  </w:p>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center" w:y="1" w:anchorLock="0"/>
      <w:tabs>
        <w:tab w:val="center" w:pos="4153"/>
        <w:tab w:val="right" w:pos="8306"/>
      </w:tabs>
    </w:pPr>
    <w:r>
      <w:rPr>
        <w:rStyle w:val="25"/>
      </w:rPr>
      <w:fldChar w:fldCharType="begin"/>
    </w:r>
    <w:r>
      <w:rPr>
        <w:rStyle w:val="25"/>
      </w:rPr>
      <w:instrText>Page</w:instrText>
    </w:r>
    <w:r>
      <w:rPr>
        <w:rStyle w:val="25"/>
      </w:rPr>
      <w:fldChar w:fldCharType="separate"/>
    </w:r>
    <w:r>
      <w:rPr>
        <w:rStyle w:val="25"/>
      </w:rPr>
      <w:t>1</w:t>
    </w:r>
    <w:r>
      <w:rPr>
        <w:rStyle w:val="25"/>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360" w:lineRule="auto"/>
      <w:jc w:val="both"/>
    </w:pPr>
    <w:rPr>
      <w:rFonts w:ascii="Calibri" w:eastAsia="宋体" w:cs="Calibri" w:hAnsi="Calibri"/>
      <w:kern w:val="2"/>
      <w:sz w:val="21"/>
      <w:szCs w:val="21"/>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spacing w:line="240" w:lineRule="auto"/>
      <w:jc w:val="center"/>
    </w:pPr>
    <w:rPr>
      <w:rFonts w:ascii="Calibri" w:eastAsia="宋体" w:cs="Arial" w:hAnsi="Calibri"/>
      <w:sz w:val="18"/>
      <w:szCs w:val="18"/>
    </w:rPr>
  </w:style>
  <w:style w:type="paragraph" w:styleId="16">
    <w:name w:val="footer"/>
    <w:basedOn w:val="0"/>
    <w:pPr>
      <w:tabs>
        <w:tab w:val="center" w:pos="4153"/>
        <w:tab w:val="right" w:pos="8306"/>
      </w:tabs>
      <w:snapToGrid w:val="0"/>
      <w:spacing w:line="240" w:lineRule="auto"/>
      <w:jc w:val="left"/>
    </w:pPr>
    <w:rPr>
      <w:rFonts w:ascii="Calibri" w:eastAsia="宋体" w:cs="Arial" w:hAnsi="Calibri"/>
      <w:sz w:val="18"/>
      <w:szCs w:val="18"/>
    </w:rPr>
  </w:style>
  <w:style w:type="paragraph" w:customStyle="1" w:styleId="17">
    <w:name w:val="样式 10 磅1"/>
    <w:pPr>
      <w:widowControl w:val="0"/>
      <w:jc w:val="both"/>
    </w:pPr>
    <w:rPr>
      <w:rFonts w:ascii="Times New Roman" w:eastAsia="宋体" w:cs="Times New Roman" w:hAnsi="Times New Roman"/>
      <w:kern w:val="2"/>
      <w:sz w:val="21"/>
      <w:szCs w:val="21"/>
      <w:lang w:val="en-US" w:eastAsia="zh-CN" w:bidi="ar-SA"/>
    </w:rPr>
  </w:style>
  <w:style w:type="paragraph" w:customStyle="1" w:styleId="18">
    <w:name w:val="样式 15 10 磅"/>
    <w:next w:val="0"/>
    <w:pPr>
      <w:widowControl w:val="0"/>
      <w:jc w:val="both"/>
    </w:pPr>
    <w:rPr>
      <w:rFonts w:ascii="Times New Roman" w:eastAsia="宋体" w:cs="Times New Roman" w:hAnsi="Times New Roman"/>
      <w:kern w:val="2"/>
      <w:sz w:val="21"/>
      <w:szCs w:val="21"/>
      <w:lang w:val="en-US" w:eastAsia="zh-CN" w:bidi="ar-SA"/>
    </w:rPr>
  </w:style>
  <w:style w:type="paragraph" w:customStyle="1" w:styleId="19">
    <w:name w:val="样式 60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20">
    <w:name w:val="样式 65 10 磅"/>
    <w:pPr>
      <w:widowControl w:val="0"/>
      <w:jc w:val="both"/>
    </w:pPr>
    <w:rPr>
      <w:rFonts w:ascii="Times New Roman" w:eastAsia="宋体" w:cs="Times New Roman" w:hAnsi="Times New Roman"/>
      <w:kern w:val="2"/>
      <w:sz w:val="21"/>
      <w:szCs w:val="24"/>
      <w:lang w:val="en-US" w:eastAsia="zh-CN" w:bidi="ar-SA"/>
    </w:rPr>
  </w:style>
  <w:style w:type="paragraph" w:customStyle="1" w:styleId="21">
    <w:name w:val="样式 68 10 磅"/>
    <w:next w:val="0"/>
    <w:pPr>
      <w:widowControl w:val="0"/>
      <w:jc w:val="both"/>
    </w:pPr>
    <w:rPr>
      <w:rFonts w:ascii="Times New Roman" w:eastAsia="宋体" w:cs="Times New Roman" w:hAnsi="Times New Roman"/>
      <w:kern w:val="2"/>
      <w:sz w:val="21"/>
      <w:szCs w:val="24"/>
      <w:lang w:val="en-US" w:eastAsia="zh-CN" w:bidi="ar-SA"/>
    </w:rPr>
  </w:style>
  <w:style w:type="paragraph" w:customStyle="1" w:styleId="22">
    <w:name w:val="样式 77 10 磅"/>
    <w:pPr>
      <w:widowControl w:val="0"/>
      <w:jc w:val="both"/>
    </w:pPr>
    <w:rPr>
      <w:rFonts w:ascii="Times New Roman" w:eastAsia="宋体" w:cs="Times New Roman" w:hAnsi="Times New Roman"/>
      <w:kern w:val="2"/>
      <w:sz w:val="21"/>
      <w:szCs w:val="24"/>
      <w:lang w:val="en-US" w:eastAsia="zh-CN" w:bidi="ar-SA"/>
    </w:rPr>
  </w:style>
  <w:style w:type="paragraph" w:customStyle="1" w:styleId="23">
    <w:name w:val="样式 83 10 磅"/>
    <w:pPr>
      <w:widowControl w:val="0"/>
      <w:jc w:val="both"/>
    </w:pPr>
    <w:rPr>
      <w:rFonts w:ascii="Times New Roman" w:eastAsia="宋体" w:cs="Times New Roman" w:hAnsi="Times New Roman"/>
      <w:kern w:val="2"/>
      <w:sz w:val="21"/>
      <w:szCs w:val="24"/>
      <w:lang w:val="en-US" w:eastAsia="zh-CN" w:bidi="ar-SA"/>
    </w:rPr>
  </w:style>
  <w:style w:type="paragraph" w:customStyle="1" w:styleId="24">
    <w:name w:val="样式 88 10 磅"/>
    <w:pPr>
      <w:widowControl w:val="0"/>
      <w:jc w:val="both"/>
    </w:pPr>
    <w:rPr>
      <w:rFonts w:ascii="Times New Roman" w:eastAsia="宋体" w:cs="Times New Roman" w:hAnsi="Times New Roman"/>
      <w:kern w:val="2"/>
      <w:sz w:val="21"/>
      <w:szCs w:val="24"/>
      <w:lang w:val="en-US" w:eastAsia="zh-CN" w:bidi="ar-SA"/>
    </w:rPr>
  </w:style>
  <w:style w:type="character" w:styleId="25">
    <w:name w:val="page number"/>
    <w:basedOn w:val="10"/>
  </w:style>
  <w:style w:type="paragraph" w:customStyle="1" w:styleId="26">
    <w:name w:val="样式 109 10 磅"/>
    <w:pPr>
      <w:widowControl w:val="0"/>
      <w:jc w:val="both"/>
    </w:pPr>
    <w:rPr>
      <w:rFonts w:ascii="Times New Roman" w:eastAsia="宋体" w:cs="Times New Roman" w:hAnsi="Times New Roman"/>
      <w:kern w:val="2"/>
      <w:sz w:val="21"/>
      <w:szCs w:val="21"/>
      <w:lang w:val="en-US" w:eastAsia="zh-CN" w:bidi="ar-SA"/>
    </w:rPr>
  </w:style>
  <w:style w:type="paragraph" w:customStyle="1" w:styleId="27">
    <w:name w:val="样式 112 10 磅"/>
    <w:pPr>
      <w:widowControl w:val="0"/>
      <w:jc w:val="both"/>
    </w:pPr>
    <w:rPr>
      <w:rFonts w:ascii="Times New Roman" w:eastAsia="宋体" w:cs="Times New Roman" w:hAnsi="Times New Roman"/>
      <w:kern w:val="2"/>
      <w:sz w:val="21"/>
      <w:szCs w:val="24"/>
      <w:lang w:val="en-US" w:eastAsia="zh-CN" w:bidi="ar-SA"/>
    </w:rPr>
  </w:style>
  <w:style w:type="paragraph" w:customStyle="1" w:styleId="28">
    <w:name w:val="样式 120 10 磅"/>
    <w:pPr>
      <w:widowControl w:val="0"/>
      <w:jc w:val="both"/>
    </w:pPr>
    <w:rPr>
      <w:rFonts w:ascii="Times New Roman" w:eastAsia="宋体" w:cs="Times New Roman" w:hAnsi="Times New Roman"/>
      <w:kern w:val="2"/>
      <w:sz w:val="21"/>
      <w:szCs w:val="24"/>
      <w:lang w:val="en-US" w:eastAsia="zh-CN" w:bidi="ar-SA"/>
    </w:rPr>
  </w:style>
  <w:style w:type="paragraph" w:customStyle="1" w:styleId="29">
    <w:name w:val="样式 129 10 磅"/>
    <w:pPr>
      <w:widowControl w:val="0"/>
      <w:jc w:val="both"/>
    </w:pPr>
    <w:rPr>
      <w:rFonts w:ascii="Times New Roman" w:eastAsia="宋体" w:cs="Times New Roman" w:hAnsi="Times New Roman"/>
      <w:kern w:val="2"/>
      <w:sz w:val="21"/>
      <w:szCs w:val="21"/>
      <w:lang w:val="en-US" w:eastAsia="zh-CN" w:bidi="ar-SA"/>
    </w:rPr>
  </w:style>
  <w:style w:type="paragraph" w:customStyle="1" w:styleId="30">
    <w:name w:val="正文缩进1"/>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31">
    <w:name w:val="正文5"/>
    <w:pPr>
      <w:widowControl w:val="0"/>
      <w:jc w:val="both"/>
    </w:pPr>
    <w:rPr>
      <w:rFonts w:ascii="Times New Roman" w:eastAsia="宋体" w:cs="Times New Roman" w:hAnsi="Times New Roman"/>
      <w:kern w:val="2"/>
      <w:sz w:val="21"/>
      <w:szCs w:val="20"/>
      <w:lang w:val="en-US" w:eastAsia="zh-CN" w:bidi="ar-SA"/>
    </w:rPr>
  </w:style>
  <w:style w:type="paragraph" w:styleId="32">
    <w:name w:val="toc 4"/>
    <w:basedOn w:val="0"/>
    <w:autoRedefine/>
    <w:next w:val="0"/>
    <w:pPr>
      <w:ind w:left="1260"/>
    </w:pPr>
  </w:style>
  <w:style w:type="paragraph" w:customStyle="1" w:styleId="33">
    <w:name w:val="样式 5 10 磅"/>
    <w:next w:val="32"/>
    <w:pPr>
      <w:widowControl w:val="0"/>
      <w:jc w:val="both"/>
    </w:pPr>
    <w:rPr>
      <w:rFonts w:ascii="Times New Roman" w:eastAsia="宋体" w:cs="Times New Roman" w:hAnsi="Times New Roman"/>
      <w:kern w:val="2"/>
      <w:sz w:val="21"/>
      <w:szCs w:val="21"/>
      <w:lang w:val="en-US" w:eastAsia="zh-CN" w:bidi="ar-SA"/>
    </w:rPr>
  </w:style>
  <w:style w:type="paragraph" w:customStyle="1" w:styleId="34">
    <w:name w:val="样式 10 磅"/>
    <w:pPr>
      <w:widowControl w:val="0"/>
      <w:jc w:val="both"/>
    </w:pPr>
    <w:rPr>
      <w:rFonts w:ascii="Times New Roman" w:eastAsia="宋体" w:cs="Times New Roman" w:hAnsi="Times New Roman"/>
      <w:kern w:val="2"/>
      <w:sz w:val="21"/>
      <w:szCs w:val="21"/>
      <w:lang w:val="en-US" w:eastAsia="zh-CN" w:bidi="ar-SA"/>
    </w:rPr>
  </w:style>
  <w:style w:type="paragraph" w:customStyle="1" w:styleId="35">
    <w:name w:val="样式 1 10 磅"/>
    <w:pPr>
      <w:widowControl w:val="0"/>
      <w:jc w:val="both"/>
    </w:pPr>
    <w:rPr>
      <w:rFonts w:ascii="Times New Roman" w:eastAsia="宋体" w:cs="Times New Roman" w:hAnsi="Times New Roman"/>
      <w:kern w:val="2"/>
      <w:sz w:val="21"/>
      <w:szCs w:val="24"/>
      <w:lang w:val="en-US" w:eastAsia="zh-CN" w:bidi="ar-SA"/>
    </w:rPr>
  </w:style>
  <w:style w:type="paragraph" w:styleId="36">
    <w:name w:val="toc 2"/>
    <w:basedOn w:val="0"/>
    <w:autoRedefine/>
    <w:next w:val="0"/>
    <w:pPr>
      <w:ind w:left="420"/>
    </w:pPr>
  </w:style>
  <w:style w:type="paragraph" w:styleId="37">
    <w:name w:val="List Continue 5"/>
    <w:basedOn w:val="0"/>
    <w:pPr>
      <w:spacing w:after="120"/>
      <w:ind w:left="2100"/>
    </w:pPr>
  </w:style>
  <w:style w:type="paragraph" w:customStyle="1" w:styleId="38">
    <w:name w:val="样式 2 10 磅"/>
    <w:pPr>
      <w:widowControl w:val="0"/>
      <w:jc w:val="both"/>
    </w:pPr>
    <w:rPr>
      <w:rFonts w:ascii="Times New Roman" w:eastAsia="宋体" w:cs="Times New Roman" w:hAnsi="Times New Roman"/>
      <w:kern w:val="2"/>
      <w:sz w:val="21"/>
      <w:szCs w:val="24"/>
      <w:lang w:val="en-US" w:eastAsia="zh-CN" w:bidi="ar-SA"/>
    </w:rPr>
  </w:style>
  <w:style w:type="paragraph" w:customStyle="1" w:styleId="39">
    <w:name w:val="样式 3 10 磅"/>
    <w:pPr>
      <w:widowControl w:val="0"/>
      <w:jc w:val="both"/>
    </w:pPr>
    <w:rPr>
      <w:rFonts w:ascii="Times New Roman" w:eastAsia="宋体" w:cs="Times New Roman" w:hAnsi="Times New Roman"/>
      <w:kern w:val="2"/>
      <w:sz w:val="21"/>
      <w:szCs w:val="24"/>
      <w:lang w:val="en-US" w:eastAsia="zh-CN" w:bidi="ar-SA"/>
    </w:rPr>
  </w:style>
  <w:style w:type="paragraph" w:customStyle="1" w:styleId="40">
    <w:name w:val="样式 4 10 磅"/>
    <w:next w:val="41"/>
    <w:pPr>
      <w:widowControl w:val="0"/>
      <w:jc w:val="both"/>
    </w:pPr>
    <w:rPr>
      <w:rFonts w:ascii="Times New Roman" w:eastAsia="宋体" w:cs="Times New Roman" w:hAnsi="Times New Roman"/>
      <w:kern w:val="2"/>
      <w:sz w:val="21"/>
      <w:szCs w:val="24"/>
      <w:lang w:val="en-US" w:eastAsia="zh-CN" w:bidi="ar-SA"/>
    </w:rPr>
  </w:style>
  <w:style w:type="paragraph" w:customStyle="1" w:styleId="41">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42">
    <w:name w:val="样式 6 10 磅"/>
    <w:pPr>
      <w:widowControl w:val="0"/>
      <w:jc w:val="both"/>
    </w:pPr>
    <w:rPr>
      <w:rFonts w:ascii="Times New Roman" w:eastAsia="宋体" w:cs="Times New Roman" w:hAnsi="Times New Roman"/>
      <w:kern w:val="2"/>
      <w:sz w:val="21"/>
      <w:szCs w:val="20"/>
      <w:lang w:val="en-US" w:eastAsia="zh-CN" w:bidi="ar-SA"/>
    </w:rPr>
  </w:style>
  <w:style w:type="paragraph" w:customStyle="1" w:styleId="43">
    <w:name w:val="样式 46 10 磅"/>
    <w:next w:val="37"/>
    <w:pPr>
      <w:widowControl w:val="0"/>
      <w:spacing w:line="360" w:lineRule="auto"/>
      <w:jc w:val="both"/>
    </w:pPr>
    <w:rPr>
      <w:rFonts w:ascii="Calibri" w:eastAsia="宋体" w:cs="Calibri" w:hAnsi="Calibri"/>
      <w:kern w:val="2"/>
      <w:sz w:val="21"/>
      <w:szCs w:val="21"/>
      <w:lang w:val="en-US" w:eastAsia="zh-CN" w:bidi="ar-SA"/>
    </w:rPr>
  </w:style>
  <w:style w:type="paragraph" w:customStyle="1" w:styleId="44">
    <w:name w:val="样式 7 10 磅"/>
    <w:pPr>
      <w:widowControl w:val="0"/>
      <w:jc w:val="both"/>
    </w:pPr>
    <w:rPr>
      <w:rFonts w:ascii="Times New Roman" w:eastAsia="宋体" w:cs="Times New Roman" w:hAnsi="Times New Roman"/>
      <w:kern w:val="2"/>
      <w:sz w:val="21"/>
      <w:szCs w:val="20"/>
      <w:lang w:val="en-US" w:eastAsia="zh-CN" w:bidi="ar-SA"/>
    </w:rPr>
  </w:style>
  <w:style w:type="paragraph" w:customStyle="1" w:styleId="45">
    <w:name w:val="样式 8 10 磅"/>
    <w:pPr>
      <w:widowControl w:val="0"/>
      <w:spacing w:line="360" w:lineRule="auto"/>
      <w:jc w:val="both"/>
    </w:pPr>
    <w:rPr>
      <w:rFonts w:ascii="Calibri" w:eastAsia="宋体" w:cs="Calibri" w:hAnsi="Calibri"/>
      <w:kern w:val="2"/>
      <w:sz w:val="21"/>
      <w:szCs w:val="21"/>
      <w:lang w:val="en-US" w:eastAsia="zh-CN" w:bidi="ar-SA"/>
    </w:rPr>
  </w:style>
  <w:style w:type="paragraph" w:customStyle="1" w:styleId="46">
    <w:name w:val="样式 9 10 磅"/>
    <w:pPr>
      <w:widowControl w:val="0"/>
      <w:jc w:val="both"/>
    </w:pPr>
    <w:rPr>
      <w:rFonts w:ascii="Times New Roman" w:eastAsia="宋体" w:cs="Times New Roman" w:hAnsi="Times New Roman"/>
      <w:kern w:val="2"/>
      <w:sz w:val="21"/>
      <w:szCs w:val="24"/>
      <w:lang w:val="en-US" w:eastAsia="zh-CN" w:bidi="ar-SA"/>
    </w:rPr>
  </w:style>
  <w:style w:type="paragraph" w:customStyle="1" w:styleId="47">
    <w:name w:val="样式 10 10 磅"/>
    <w:pPr>
      <w:widowControl w:val="0"/>
      <w:jc w:val="both"/>
    </w:pPr>
    <w:rPr>
      <w:rFonts w:ascii="Times New Roman" w:eastAsia="宋体" w:cs="Times New Roman" w:hAnsi="Times New Roman"/>
      <w:kern w:val="2"/>
      <w:sz w:val="21"/>
      <w:szCs w:val="24"/>
      <w:lang w:val="en-US" w:eastAsia="zh-CN" w:bidi="ar-SA"/>
    </w:rPr>
  </w:style>
  <w:style w:type="paragraph" w:customStyle="1" w:styleId="48">
    <w:name w:val="样式 11 10 磅"/>
    <w:pPr>
      <w:widowControl w:val="0"/>
      <w:jc w:val="both"/>
    </w:pPr>
    <w:rPr>
      <w:rFonts w:ascii="Times New Roman" w:eastAsia="宋体" w:cs="Times New Roman" w:hAnsi="Times New Roman"/>
      <w:kern w:val="2"/>
      <w:sz w:val="21"/>
      <w:szCs w:val="24"/>
      <w:lang w:val="en-US" w:eastAsia="zh-CN" w:bidi="ar-SA"/>
    </w:rPr>
  </w:style>
  <w:style w:type="paragraph" w:customStyle="1" w:styleId="49">
    <w:name w:val="样式 12 10 磅"/>
    <w:next w:val="50"/>
    <w:pPr>
      <w:widowControl w:val="0"/>
      <w:jc w:val="both"/>
    </w:pPr>
    <w:rPr>
      <w:rFonts w:ascii="Times New Roman" w:eastAsia="宋体" w:cs="Times New Roman" w:hAnsi="Times New Roman"/>
      <w:kern w:val="2"/>
      <w:sz w:val="21"/>
      <w:szCs w:val="24"/>
      <w:lang w:val="en-US" w:eastAsia="zh-CN" w:bidi="ar-SA"/>
    </w:rPr>
  </w:style>
  <w:style w:type="paragraph" w:customStyle="1" w:styleId="50">
    <w:name w:val="样式 12 10 磅"/>
    <w:pPr>
      <w:widowControl w:val="0"/>
      <w:jc w:val="both"/>
    </w:pPr>
    <w:rPr>
      <w:rFonts w:ascii="Times New Roman" w:eastAsia="宋体" w:cs="Times New Roman" w:hAnsi="Times New Roman"/>
      <w:kern w:val="2"/>
      <w:sz w:val="21"/>
      <w:szCs w:val="24"/>
      <w:lang w:val="en-US" w:eastAsia="zh-CN" w:bidi="ar-SA"/>
    </w:rPr>
  </w:style>
  <w:style w:type="paragraph" w:customStyle="1" w:styleId="51">
    <w:name w:val="样式 13 10 磅"/>
    <w:pPr>
      <w:widowControl w:val="0"/>
      <w:ind w:firstLineChars="200" w:firstLine="200"/>
      <w:jc w:val="both"/>
    </w:pPr>
    <w:rPr>
      <w:rFonts w:ascii="Times New Roman" w:eastAsia="宋体" w:cs="Times New Roman" w:hAnsi="Times New Roman"/>
      <w:kern w:val="2"/>
      <w:sz w:val="21"/>
      <w:szCs w:val="24"/>
      <w:lang w:val="en-US" w:eastAsia="zh-CN" w:bidi="ar-SA"/>
    </w:rPr>
  </w:style>
  <w:style w:type="paragraph" w:customStyle="1" w:styleId="52">
    <w:name w:val="样式 14 10 磅"/>
    <w:pPr>
      <w:widowControl w:val="0"/>
      <w:jc w:val="both"/>
    </w:pPr>
    <w:rPr>
      <w:rFonts w:ascii="Times New Roman" w:eastAsia="宋体" w:cs="Times New Roman" w:hAnsi="Times New Roman"/>
      <w:kern w:val="2"/>
      <w:sz w:val="21"/>
      <w:szCs w:val="20"/>
      <w:lang w:val="en-US" w:eastAsia="zh-CN" w:bidi="ar-SA"/>
    </w:rPr>
  </w:style>
  <w:style w:type="paragraph" w:customStyle="1" w:styleId="53">
    <w:name w:val="样式 16 10 磅"/>
    <w:pPr>
      <w:widowControl w:val="0"/>
      <w:jc w:val="both"/>
    </w:pPr>
    <w:rPr>
      <w:rFonts w:ascii="Times New Roman" w:eastAsia="宋体" w:cs="Times New Roman" w:hAnsi="Times New Roman"/>
      <w:kern w:val="2"/>
      <w:sz w:val="21"/>
      <w:szCs w:val="20"/>
      <w:lang w:val="en-US" w:eastAsia="zh-CN" w:bidi="ar-SA"/>
    </w:rPr>
  </w:style>
  <w:style w:type="paragraph" w:customStyle="1" w:styleId="54">
    <w:name w:val="样式 17 10 磅"/>
    <w:pPr>
      <w:widowControl w:val="0"/>
      <w:jc w:val="both"/>
    </w:pPr>
    <w:rPr>
      <w:rFonts w:ascii="Times New Roman" w:eastAsia="宋体" w:cs="Times New Roman" w:hAnsi="Times New Roman"/>
      <w:kern w:val="2"/>
      <w:sz w:val="21"/>
      <w:szCs w:val="20"/>
      <w:lang w:val="en-US" w:eastAsia="zh-CN" w:bidi="ar-SA"/>
    </w:rPr>
  </w:style>
  <w:style w:type="paragraph" w:customStyle="1" w:styleId="55">
    <w:name w:val="样式 18 10 磅"/>
    <w:pPr>
      <w:widowControl w:val="0"/>
      <w:jc w:val="both"/>
    </w:pPr>
    <w:rPr>
      <w:rFonts w:ascii="Times New Roman" w:eastAsia="宋体" w:cs="Times New Roman" w:hAnsi="Times New Roman"/>
      <w:kern w:val="2"/>
      <w:sz w:val="21"/>
      <w:szCs w:val="20"/>
      <w:lang w:val="en-US" w:eastAsia="zh-CN" w:bidi="ar-SA"/>
    </w:rPr>
  </w:style>
  <w:style w:type="paragraph" w:customStyle="1" w:styleId="56">
    <w:name w:val="样式 19 10 磅"/>
    <w:pPr>
      <w:widowControl w:val="0"/>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124</TotalTime>
  <Application>Yozo_Office</Application>
  <Pages>4</Pages>
  <Words>1603</Words>
  <Characters>1950</Characters>
  <Lines>90</Lines>
  <Paragraphs>39</Paragraphs>
  <CharactersWithSpaces>2004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邢国亮</dc:creator>
  <cp:lastModifiedBy>赵健</cp:lastModifiedBy>
  <cp:revision>4</cp:revision>
  <dcterms:created xsi:type="dcterms:W3CDTF">2019-11-25T07:04:00Z</dcterms:created>
  <dcterms:modified xsi:type="dcterms:W3CDTF">2019-12-10T09:42:06Z</dcterms:modified>
</cp:coreProperties>
</file>